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301407</w:t>
      </w:r>
    </w:p>
    <w:p>
      <w:pPr>
        <w:tabs>
          <w:tab w:val="left" w:pos="420"/>
          <w:tab w:val="left" w:pos="840"/>
          <w:tab w:val="left" w:pos="1260"/>
          <w:tab w:val="left" w:pos="1680"/>
          <w:tab w:val="left" w:pos="2100"/>
          <w:tab w:val="left" w:pos="2520"/>
        </w:tabs>
        <w:jc w:val="both"/>
        <w:rPr>
          <w:rFonts w:hint="eastAsia" w:ascii="Arial" w:hAnsi="Arial" w:eastAsia="MS Mincho" w:cs="Arial"/>
          <w:b/>
          <w:sz w:val="24"/>
          <w:szCs w:val="24"/>
          <w:highlight w:val="none"/>
          <w:lang w:val="en-US" w:eastAsia="en-US"/>
        </w:rPr>
      </w:pPr>
      <w:r>
        <w:rPr>
          <w:rFonts w:hint="eastAsia" w:ascii="Arial" w:hAnsi="Arial" w:eastAsia="MS Mincho" w:cs="Arial"/>
          <w:b/>
          <w:sz w:val="24"/>
          <w:szCs w:val="24"/>
          <w:highlight w:val="none"/>
          <w:lang w:val="en-US" w:eastAsia="en-US"/>
        </w:rPr>
        <w:t>Athens, Greece, 27 Feb–3 Mar</w:t>
      </w:r>
      <w:r>
        <w:rPr>
          <w:rFonts w:hint="eastAsia" w:ascii="Arial" w:hAnsi="Arial" w:eastAsia="MS Mincho" w:cs="Arial"/>
          <w:b/>
          <w:sz w:val="24"/>
          <w:szCs w:val="24"/>
          <w:highlight w:val="none"/>
          <w:lang w:eastAsia="en-US"/>
        </w:rPr>
        <w:t>, 202</w:t>
      </w:r>
      <w:r>
        <w:rPr>
          <w:rFonts w:hint="eastAsia" w:ascii="Arial" w:hAnsi="Arial" w:eastAsia="MS Mincho" w:cs="Arial"/>
          <w:b/>
          <w:sz w:val="24"/>
          <w:szCs w:val="24"/>
          <w:highlight w:val="none"/>
          <w:lang w:val="en-US" w:eastAsia="en-US"/>
        </w:rPr>
        <w:t>3</w:t>
      </w:r>
      <w:bookmarkStart w:id="1" w:name="_GoBack"/>
      <w:bookmarkEnd w:id="1"/>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Case 2 RRM requirements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9.10.2.3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 xml:space="preserve">In RAN plenary 97 meeting, a revised WID was approved in [1] for Rel-18 </w:t>
      </w:r>
      <w:r>
        <w:rPr>
          <w:rFonts w:hint="eastAsia"/>
          <w:lang w:val="en-US" w:eastAsia="zh-CN"/>
        </w:rPr>
        <w:t xml:space="preserve">to identify further enhancement on NR and MR-DC Measurement Gaps and Measurements without Gaps </w:t>
      </w:r>
      <w:r>
        <w:rPr>
          <w:rFonts w:hint="eastAsia" w:eastAsia="宋体"/>
          <w:color w:val="auto"/>
          <w:sz w:val="20"/>
          <w:szCs w:val="20"/>
          <w:lang w:val="en-US" w:eastAsia="zh-CN"/>
        </w:rPr>
        <w:t>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5"/>
              </w:numPr>
              <w:kinsoku/>
              <w:wordWrap/>
              <w:overflowPunct/>
              <w:topLinePunct w:val="0"/>
              <w:autoSpaceDE/>
              <w:autoSpaceDN/>
              <w:bidi w:val="0"/>
              <w:adjustRightInd/>
              <w:snapToGrid/>
              <w:ind w:left="717" w:leftChars="0"/>
              <w:textAlignment w:val="auto"/>
              <w:rPr>
                <w:rFonts w:eastAsia="Batang"/>
                <w:lang w:val="en-US"/>
              </w:rPr>
            </w:pPr>
            <w:r>
              <w:rPr>
                <w:rFonts w:eastAsia="Batang"/>
                <w:lang w:val="en-US"/>
              </w:rPr>
              <w:t xml:space="preserve">Enhancements of pre-configured MGs, multiple concurrent MGs and NCSG </w:t>
            </w:r>
          </w:p>
          <w:p>
            <w:pPr>
              <w:keepNext w:val="0"/>
              <w:keepLines w:val="0"/>
              <w:pageBreakBefore w:val="0"/>
              <w:widowControl/>
              <w:numPr>
                <w:ilvl w:val="1"/>
                <w:numId w:val="6"/>
              </w:numPr>
              <w:kinsoku/>
              <w:wordWrap/>
              <w:overflowPunct/>
              <w:topLinePunct w:val="0"/>
              <w:autoSpaceDE/>
              <w:autoSpaceDN/>
              <w:bidi w:val="0"/>
              <w:adjustRightInd/>
              <w:snapToGrid/>
              <w:ind w:hanging="363"/>
              <w:textAlignment w:val="auto"/>
              <w:rPr>
                <w:lang w:eastAsia="zh-TW"/>
              </w:rPr>
            </w:pPr>
            <w:bookmarkStart w:id="0" w:name="_Hlk114141673"/>
            <w:r>
              <w:rPr>
                <w:lang w:eastAsia="zh-TW"/>
              </w:rPr>
              <w:t>Define RRM requirements for UEs configured with a combination of pre-configured MGs, and/or concurrent MGs and/or NCSG [RAN4]</w:t>
            </w:r>
          </w:p>
          <w:bookmarkEnd w:id="0"/>
          <w:p>
            <w:pPr>
              <w:keepNext w:val="0"/>
              <w:keepLines w:val="0"/>
              <w:pageBreakBefore w:val="0"/>
              <w:widowControl/>
              <w:numPr>
                <w:ilvl w:val="2"/>
                <w:numId w:val="7"/>
              </w:numPr>
              <w:kinsoku/>
              <w:wordWrap/>
              <w:overflowPunct/>
              <w:topLinePunct w:val="0"/>
              <w:autoSpaceDE/>
              <w:autoSpaceDN/>
              <w:bidi w:val="0"/>
              <w:adjustRightInd/>
              <w:snapToGrid/>
              <w:ind w:hanging="363"/>
              <w:textAlignment w:val="auto"/>
              <w:rPr>
                <w:lang w:eastAsia="zh-TW"/>
              </w:rPr>
            </w:pPr>
            <w:r>
              <w:rPr>
                <w:lang w:eastAsia="zh-TW"/>
              </w:rPr>
              <w:t>Prioritize at least joint requirements for UE configured with</w:t>
            </w:r>
          </w:p>
          <w:p>
            <w:pPr>
              <w:keepNext w:val="0"/>
              <w:keepLines w:val="0"/>
              <w:pageBreakBefore w:val="0"/>
              <w:widowControl/>
              <w:numPr>
                <w:ilvl w:val="3"/>
                <w:numId w:val="7"/>
              </w:numPr>
              <w:kinsoku/>
              <w:wordWrap/>
              <w:overflowPunct/>
              <w:topLinePunct w:val="0"/>
              <w:autoSpaceDE/>
              <w:autoSpaceDN/>
              <w:bidi w:val="0"/>
              <w:adjustRightInd/>
              <w:snapToGrid/>
              <w:ind w:hanging="363"/>
              <w:textAlignment w:val="auto"/>
              <w:rPr>
                <w:lang w:eastAsia="zh-TW"/>
              </w:rPr>
            </w:pPr>
            <w:r>
              <w:rPr>
                <w:lang w:eastAsia="zh-TW"/>
              </w:rPr>
              <w:t xml:space="preserve">Case 1: Pre-configured MG(s) and concurrent MG(s) (i.e., </w:t>
            </w:r>
            <w:r>
              <w:t>the network has provided UE with multiple measurement gap patterns where at least one gap pattern is a Pre-configured MG</w:t>
            </w:r>
            <w:r>
              <w:rPr>
                <w:lang w:eastAsia="zh-TW"/>
              </w:rPr>
              <w:t>)</w:t>
            </w:r>
          </w:p>
          <w:p>
            <w:pPr>
              <w:keepNext w:val="0"/>
              <w:keepLines w:val="0"/>
              <w:pageBreakBefore w:val="0"/>
              <w:widowControl/>
              <w:numPr>
                <w:ilvl w:val="3"/>
                <w:numId w:val="7"/>
              </w:numPr>
              <w:kinsoku/>
              <w:wordWrap/>
              <w:overflowPunct/>
              <w:topLinePunct w:val="0"/>
              <w:autoSpaceDE/>
              <w:autoSpaceDN/>
              <w:bidi w:val="0"/>
              <w:adjustRightInd/>
              <w:snapToGrid/>
              <w:ind w:hanging="363"/>
              <w:textAlignment w:val="auto"/>
              <w:rPr>
                <w:lang w:eastAsia="zh-TW"/>
              </w:rPr>
            </w:pPr>
            <w:r>
              <w:rPr>
                <w:lang w:eastAsia="zh-TW"/>
              </w:rPr>
              <w:t xml:space="preserve">Case 2: NCSG and concurrent MG(s) (i.e., </w:t>
            </w:r>
            <w:r>
              <w:t>the network has provided UE with multiple measurement gap patterns where at least one gap pattern is a NCSG</w:t>
            </w:r>
            <w:r>
              <w:rPr>
                <w:lang w:eastAsia="zh-TW"/>
              </w:rPr>
              <w:t>)</w:t>
            </w:r>
          </w:p>
          <w:p>
            <w:pPr>
              <w:keepNext w:val="0"/>
              <w:keepLines w:val="0"/>
              <w:pageBreakBefore w:val="0"/>
              <w:widowControl/>
              <w:numPr>
                <w:ilvl w:val="2"/>
                <w:numId w:val="7"/>
              </w:numPr>
              <w:kinsoku/>
              <w:wordWrap/>
              <w:overflowPunct/>
              <w:topLinePunct w:val="0"/>
              <w:autoSpaceDE/>
              <w:autoSpaceDN/>
              <w:bidi w:val="0"/>
              <w:adjustRightInd/>
              <w:snapToGrid/>
              <w:ind w:hanging="363"/>
              <w:textAlignment w:val="auto"/>
              <w:rPr>
                <w:lang w:eastAsia="zh-TW"/>
              </w:rPr>
            </w:pPr>
            <w:r>
              <w:rPr>
                <w:rFonts w:hint="eastAsia"/>
                <w:lang w:eastAsia="zh-TW"/>
              </w:rPr>
              <w:t>N</w:t>
            </w:r>
            <w:r>
              <w:rPr>
                <w:lang w:eastAsia="zh-TW"/>
              </w:rPr>
              <w:t xml:space="preserve">ote 1: </w:t>
            </w:r>
            <w:r>
              <w:t xml:space="preserve">Gaps that are configured for NTN are precluded in </w:t>
            </w:r>
            <w:r>
              <w:rPr>
                <w:u w:val="none"/>
              </w:rPr>
              <w:t>Case 1 and Case 2</w:t>
            </w:r>
          </w:p>
          <w:p>
            <w:pPr>
              <w:keepNext w:val="0"/>
              <w:keepLines w:val="0"/>
              <w:pageBreakBefore w:val="0"/>
              <w:widowControl/>
              <w:numPr>
                <w:ilvl w:val="2"/>
                <w:numId w:val="7"/>
              </w:numPr>
              <w:kinsoku/>
              <w:wordWrap/>
              <w:overflowPunct/>
              <w:topLinePunct w:val="0"/>
              <w:autoSpaceDE/>
              <w:autoSpaceDN/>
              <w:bidi w:val="0"/>
              <w:adjustRightInd/>
              <w:snapToGrid/>
              <w:ind w:hanging="363"/>
              <w:textAlignment w:val="auto"/>
              <w:rPr>
                <w:lang w:eastAsia="zh-TW"/>
              </w:rPr>
            </w:pPr>
            <w:r>
              <w:rPr>
                <w:rFonts w:hint="eastAsia"/>
                <w:lang w:eastAsia="zh-TW"/>
              </w:rPr>
              <w:t>N</w:t>
            </w:r>
            <w:r>
              <w:rPr>
                <w:lang w:eastAsia="zh-TW"/>
              </w:rPr>
              <w:t xml:space="preserve">ote 2: </w:t>
            </w:r>
            <w:r>
              <w:t>The requirement discussions on the scenarios that NCSG is considered in Case 1 and that Pre-configured MG is considered in Case 2 will be started after RAN#99.</w:t>
            </w:r>
          </w:p>
          <w:p>
            <w:pPr>
              <w:keepNext w:val="0"/>
              <w:keepLines w:val="0"/>
              <w:pageBreakBefore w:val="0"/>
              <w:widowControl/>
              <w:numPr>
                <w:ilvl w:val="2"/>
                <w:numId w:val="7"/>
              </w:numPr>
              <w:kinsoku/>
              <w:wordWrap/>
              <w:overflowPunct/>
              <w:topLinePunct w:val="0"/>
              <w:autoSpaceDE/>
              <w:autoSpaceDN/>
              <w:bidi w:val="0"/>
              <w:adjustRightInd/>
              <w:snapToGrid/>
              <w:ind w:hanging="363"/>
              <w:textAlignment w:val="auto"/>
              <w:rPr>
                <w:lang w:eastAsia="zh-TW"/>
              </w:rPr>
            </w:pPr>
            <w:r>
              <w:rPr>
                <w:lang w:eastAsia="zh-TW"/>
              </w:rPr>
              <w:t>Note 3: Prioritization among other possible combinations of pre-configured MG, concurrent MG, NTN gaps and NCSG can be discussed after RAN#99</w:t>
            </w:r>
          </w:p>
          <w:p>
            <w:pPr>
              <w:keepNext w:val="0"/>
              <w:keepLines w:val="0"/>
              <w:pageBreakBefore w:val="0"/>
              <w:widowControl/>
              <w:numPr>
                <w:ilvl w:val="2"/>
                <w:numId w:val="7"/>
              </w:numPr>
              <w:kinsoku/>
              <w:wordWrap/>
              <w:overflowPunct/>
              <w:topLinePunct w:val="0"/>
              <w:autoSpaceDE/>
              <w:autoSpaceDN/>
              <w:bidi w:val="0"/>
              <w:adjustRightInd/>
              <w:snapToGrid/>
              <w:ind w:hanging="363"/>
              <w:textAlignment w:val="auto"/>
              <w:rPr>
                <w:rFonts w:hint="default" w:eastAsia="宋体"/>
                <w:color w:val="auto"/>
                <w:sz w:val="20"/>
                <w:szCs w:val="20"/>
                <w:vertAlign w:val="baseline"/>
                <w:lang w:val="en-US" w:eastAsia="zh-CN"/>
              </w:rPr>
            </w:pPr>
            <w:r>
              <w:rPr>
                <w:lang w:eastAsia="zh-TW"/>
              </w:rPr>
              <w:t>Note 4: This WID does not include any inter-working with MUSIM gaps</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Based on the revised WID achieved in RAN plenary 97, it seems that the scenario for current stage is more clear, i.e. NTN MG is not considered in Case 1 and Case 2. NCSG is not considered in Case 1 before RAN#99, and pre-configured MG is not considered in Case 2 before RAN#99. Further more, it is clear that MUSIM gap is not considered in this WI.</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Around Case 2 in the WI, the following agreements were achieved in [2] during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tabs>
                <w:tab w:val="left" w:pos="420"/>
              </w:tabs>
              <w:rPr>
                <w:rFonts w:hint="eastAsia"/>
                <w:lang w:val="en-US" w:eastAsia="ko-KR"/>
              </w:rPr>
            </w:pPr>
            <w:r>
              <w:rPr>
                <w:rFonts w:hint="eastAsia"/>
                <w:lang w:val="en-US" w:eastAsia="ko-KR"/>
              </w:rPr>
              <w:t xml:space="preserve">Issue </w:t>
            </w:r>
            <w:r>
              <w:rPr>
                <w:rFonts w:hint="eastAsia"/>
                <w:lang w:val="en-US" w:eastAsia="zh-CN"/>
              </w:rPr>
              <w:t>3</w:t>
            </w:r>
            <w:r>
              <w:rPr>
                <w:rFonts w:hint="eastAsia"/>
                <w:lang w:val="en-US" w:eastAsia="ko-KR"/>
              </w:rPr>
              <w:t>-1-1: [Case 2] Whether to consider NCSG + NCSG in an FR</w:t>
            </w:r>
          </w:p>
          <w:p>
            <w:pPr>
              <w:keepNext w:val="0"/>
              <w:keepLines w:val="0"/>
              <w:pageBreakBefore w:val="0"/>
              <w:widowControl w:val="0"/>
              <w:kinsoku/>
              <w:wordWrap/>
              <w:overflowPunct/>
              <w:topLinePunct w:val="0"/>
              <w:autoSpaceDE/>
              <w:autoSpaceDN/>
              <w:bidi w:val="0"/>
              <w:adjustRightInd/>
              <w:snapToGrid/>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keepNext w:val="0"/>
              <w:keepLines w:val="0"/>
              <w:pageBreakBefore w:val="0"/>
              <w:widowControl w:val="0"/>
              <w:numPr>
                <w:ilvl w:val="0"/>
                <w:numId w:val="8"/>
              </w:numPr>
              <w:kinsoku/>
              <w:wordWrap/>
              <w:overflowPunct/>
              <w:topLinePunct w:val="0"/>
              <w:autoSpaceDE/>
              <w:autoSpaceDN/>
              <w:bidi w:val="0"/>
              <w:adjustRightInd/>
              <w:snapToGrid/>
              <w:textAlignment w:val="auto"/>
              <w:rPr>
                <w:lang w:eastAsia="zh-CN"/>
              </w:rPr>
            </w:pPr>
            <w:r>
              <w:rPr>
                <w:lang w:eastAsia="zh-CN"/>
              </w:rPr>
              <w:t>Narrow down options to Option 1 and 3</w:t>
            </w:r>
          </w:p>
          <w:p>
            <w:pPr>
              <w:keepNext w:val="0"/>
              <w:keepLines w:val="0"/>
              <w:pageBreakBefore w:val="0"/>
              <w:widowControl w:val="0"/>
              <w:numPr>
                <w:ilvl w:val="1"/>
                <w:numId w:val="8"/>
              </w:numPr>
              <w:kinsoku/>
              <w:wordWrap/>
              <w:overflowPunct/>
              <w:topLinePunct w:val="0"/>
              <w:autoSpaceDE/>
              <w:autoSpaceDN/>
              <w:bidi w:val="0"/>
              <w:adjustRightInd/>
              <w:snapToGrid/>
              <w:textAlignment w:val="auto"/>
              <w:rPr>
                <w:lang w:eastAsia="zh-CN"/>
              </w:rPr>
            </w:pPr>
            <w:r>
              <w:rPr>
                <w:lang w:eastAsia="zh-CN"/>
              </w:rPr>
              <w:t>Option 1: Yes. FFS whether the same RF chain is assumed for the two NCSG patterns.</w:t>
            </w:r>
          </w:p>
          <w:p>
            <w:pPr>
              <w:keepNext w:val="0"/>
              <w:keepLines w:val="0"/>
              <w:pageBreakBefore w:val="0"/>
              <w:widowControl w:val="0"/>
              <w:numPr>
                <w:ilvl w:val="1"/>
                <w:numId w:val="8"/>
              </w:numPr>
              <w:kinsoku/>
              <w:wordWrap/>
              <w:overflowPunct/>
              <w:topLinePunct w:val="0"/>
              <w:autoSpaceDE/>
              <w:autoSpaceDN/>
              <w:bidi w:val="0"/>
              <w:adjustRightInd/>
              <w:snapToGrid/>
              <w:textAlignment w:val="auto"/>
              <w:rPr>
                <w:lang w:eastAsia="zh-CN"/>
              </w:rPr>
            </w:pPr>
            <w:r>
              <w:rPr>
                <w:lang w:eastAsia="zh-CN"/>
              </w:rPr>
              <w:t>Option 3: Yes, up to UE capability</w:t>
            </w:r>
          </w:p>
          <w:p>
            <w:pPr>
              <w:keepNext w:val="0"/>
              <w:keepLines w:val="0"/>
              <w:pageBreakBefore w:val="0"/>
              <w:widowControl w:val="0"/>
              <w:numPr>
                <w:ilvl w:val="0"/>
                <w:numId w:val="0"/>
              </w:numPr>
              <w:kinsoku/>
              <w:wordWrap/>
              <w:overflowPunct/>
              <w:topLinePunct w:val="0"/>
              <w:autoSpaceDE/>
              <w:autoSpaceDN/>
              <w:bidi w:val="0"/>
              <w:adjustRightInd/>
              <w:snapToGrid/>
              <w:ind w:left="1060" w:leftChars="0"/>
              <w:textAlignment w:val="auto"/>
              <w:rPr>
                <w:lang w:eastAsia="zh-CN"/>
              </w:rPr>
            </w:pPr>
          </w:p>
          <w:p>
            <w:pPr>
              <w:numPr>
                <w:ilvl w:val="0"/>
                <w:numId w:val="0"/>
              </w:numPr>
              <w:tabs>
                <w:tab w:val="left" w:pos="420"/>
              </w:tabs>
              <w:rPr>
                <w:rFonts w:hint="eastAsia"/>
                <w:lang w:val="en-US" w:eastAsia="ko-KR"/>
              </w:rPr>
            </w:pPr>
            <w:r>
              <w:rPr>
                <w:rFonts w:hint="eastAsia"/>
                <w:lang w:val="en-US" w:eastAsia="ko-KR"/>
              </w:rPr>
              <w:t xml:space="preserve">Issue </w:t>
            </w:r>
            <w:r>
              <w:rPr>
                <w:rFonts w:hint="eastAsia"/>
                <w:lang w:val="en-US" w:eastAsia="zh-CN"/>
              </w:rPr>
              <w:t>3</w:t>
            </w:r>
            <w:r>
              <w:rPr>
                <w:rFonts w:hint="eastAsia"/>
                <w:lang w:val="en-US" w:eastAsia="ko-KR"/>
              </w:rPr>
              <w:t>-1-2: [Case 2] Whether to increase the max number of supported gaps</w:t>
            </w:r>
          </w:p>
          <w:p>
            <w:pPr>
              <w:keepNext w:val="0"/>
              <w:keepLines w:val="0"/>
              <w:pageBreakBefore w:val="0"/>
              <w:kinsoku/>
              <w:wordWrap/>
              <w:overflowPunct/>
              <w:topLinePunct w:val="0"/>
              <w:autoSpaceDE/>
              <w:autoSpaceDN/>
              <w:bidi w:val="0"/>
              <w:adjustRightInd/>
              <w:snapToGrid/>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keepNext w:val="0"/>
              <w:keepLines w:val="0"/>
              <w:pageBreakBefore w:val="0"/>
              <w:widowControl w:val="0"/>
              <w:kinsoku/>
              <w:wordWrap/>
              <w:overflowPunct/>
              <w:topLinePunct w:val="0"/>
              <w:autoSpaceDE/>
              <w:autoSpaceDN/>
              <w:bidi w:val="0"/>
              <w:adjustRightInd/>
              <w:snapToGrid/>
              <w:ind w:left="1120"/>
              <w:textAlignment w:val="auto"/>
              <w:rPr>
                <w:lang w:eastAsia="zh-CN"/>
              </w:rPr>
            </w:pPr>
            <w:r>
              <w:rPr>
                <w:szCs w:val="24"/>
                <w:lang w:eastAsia="zh-CN"/>
              </w:rPr>
              <w:t>Also based on all support for option 1.</w:t>
            </w:r>
          </w:p>
          <w:p>
            <w:pPr>
              <w:keepNext w:val="0"/>
              <w:keepLines w:val="0"/>
              <w:pageBreakBefore w:val="0"/>
              <w:widowControl w:val="0"/>
              <w:numPr>
                <w:ilvl w:val="1"/>
                <w:numId w:val="8"/>
              </w:numPr>
              <w:kinsoku/>
              <w:wordWrap/>
              <w:overflowPunct/>
              <w:topLinePunct w:val="0"/>
              <w:autoSpaceDE/>
              <w:autoSpaceDN/>
              <w:bidi w:val="0"/>
              <w:adjustRightInd/>
              <w:snapToGrid/>
              <w:textAlignment w:val="auto"/>
              <w:rPr>
                <w:lang w:eastAsia="zh-CN"/>
              </w:rPr>
            </w:pPr>
            <w:r>
              <w:rPr>
                <w:lang w:eastAsia="zh-CN"/>
              </w:rPr>
              <w:t>Do not increase the max number of gaps for Case 2 (NCSG and multiple concurrent MGs) comparing to Rel-17 concurrent MG design.</w:t>
            </w:r>
          </w:p>
          <w:p>
            <w:pPr>
              <w:numPr>
                <w:ilvl w:val="0"/>
                <w:numId w:val="0"/>
              </w:numPr>
              <w:rPr>
                <w:rFonts w:hint="eastAsia"/>
                <w:lang w:val="en-US" w:eastAsia="zh-CN"/>
              </w:rPr>
            </w:pPr>
            <w:r>
              <w:rPr>
                <w:rFonts w:hint="eastAsia"/>
                <w:lang w:val="en-US" w:eastAsia="zh-CN"/>
              </w:rPr>
              <w:t>Issue 3-2: Collision handling</w:t>
            </w:r>
          </w:p>
          <w:p>
            <w:pPr>
              <w:pStyle w:val="58"/>
              <w:keepNext w:val="0"/>
              <w:keepLines w:val="0"/>
              <w:pageBreakBefore w:val="0"/>
              <w:widowControl w:val="0"/>
              <w:numPr>
                <w:ilvl w:val="1"/>
                <w:numId w:val="0"/>
              </w:numPr>
              <w:kinsoku/>
              <w:wordWrap/>
              <w:overflowPunct/>
              <w:topLinePunct w:val="0"/>
              <w:autoSpaceDE/>
              <w:autoSpaceDN/>
              <w:bidi w:val="0"/>
              <w:adjustRightInd/>
              <w:snapToGrid/>
              <w:spacing w:after="0"/>
              <w:textAlignment w:val="auto"/>
              <w:rPr>
                <w:lang w:eastAsia="zh-CN"/>
              </w:rPr>
            </w:pPr>
            <w:r>
              <w:rPr>
                <w:b/>
                <w:lang w:eastAsia="zh-CN"/>
              </w:rPr>
              <w:t xml:space="preserve">&lt; </w:t>
            </w:r>
            <w:r>
              <w:rPr>
                <w:b/>
                <w:highlight w:val="green"/>
                <w:lang w:eastAsia="zh-CN"/>
              </w:rPr>
              <w:t>Agreement</w:t>
            </w:r>
            <w:r>
              <w:rPr>
                <w:b/>
                <w:lang w:eastAsia="zh-CN"/>
              </w:rPr>
              <w:t>&gt;</w:t>
            </w:r>
            <w:r>
              <w:rPr>
                <w:lang w:eastAsia="zh-CN"/>
              </w:rPr>
              <w:t xml:space="preserve">: </w:t>
            </w:r>
          </w:p>
          <w:p>
            <w:pPr>
              <w:keepNext w:val="0"/>
              <w:keepLines w:val="0"/>
              <w:pageBreakBefore w:val="0"/>
              <w:widowControl w:val="0"/>
              <w:numPr>
                <w:ilvl w:val="0"/>
                <w:numId w:val="8"/>
              </w:numPr>
              <w:kinsoku/>
              <w:wordWrap/>
              <w:overflowPunct/>
              <w:topLinePunct w:val="0"/>
              <w:autoSpaceDE/>
              <w:autoSpaceDN/>
              <w:bidi w:val="0"/>
              <w:adjustRightInd/>
              <w:snapToGrid/>
              <w:textAlignment w:val="auto"/>
              <w:rPr>
                <w:lang w:eastAsia="zh-CN"/>
              </w:rPr>
            </w:pPr>
            <w:r>
              <w:rPr>
                <w:lang w:eastAsia="zh-CN"/>
              </w:rPr>
              <w:t>Reuse Rel-17 proximity conditions for Case 2 (NCSG and Concurrent MG).</w:t>
            </w:r>
          </w:p>
          <w:p>
            <w:pPr>
              <w:numPr>
                <w:ilvl w:val="0"/>
                <w:numId w:val="0"/>
              </w:numPr>
              <w:tabs>
                <w:tab w:val="left" w:pos="420"/>
              </w:tabs>
              <w:rPr>
                <w:rFonts w:hint="eastAsia"/>
                <w:lang w:val="en-US" w:eastAsia="ko-KR"/>
              </w:rPr>
            </w:pPr>
            <w:r>
              <w:rPr>
                <w:rFonts w:hint="eastAsia"/>
                <w:lang w:val="en-US" w:eastAsia="ko-KR"/>
              </w:rPr>
              <w:t xml:space="preserve">Issue </w:t>
            </w:r>
            <w:r>
              <w:rPr>
                <w:rFonts w:hint="eastAsia"/>
                <w:lang w:val="en-US" w:eastAsia="zh-CN"/>
              </w:rPr>
              <w:t>3</w:t>
            </w:r>
            <w:r>
              <w:rPr>
                <w:rFonts w:hint="eastAsia"/>
                <w:lang w:val="en-US" w:eastAsia="ko-KR"/>
              </w:rPr>
              <w:t>-2-2: [Case 2] Whether to consider gap sharing rule</w:t>
            </w:r>
          </w:p>
          <w:p>
            <w:pPr>
              <w:keepNext w:val="0"/>
              <w:keepLines w:val="0"/>
              <w:pageBreakBefore w:val="0"/>
              <w:widowControl w:val="0"/>
              <w:kinsoku/>
              <w:wordWrap/>
              <w:overflowPunct/>
              <w:topLinePunct w:val="0"/>
              <w:autoSpaceDE/>
              <w:autoSpaceDN/>
              <w:bidi w:val="0"/>
              <w:adjustRightInd/>
              <w:snapToGrid/>
              <w:ind w:left="400" w:leftChars="0"/>
              <w:textAlignment w:val="auto"/>
              <w:rPr>
                <w:lang w:eastAsia="zh-CN"/>
              </w:rPr>
            </w:pPr>
            <w:r>
              <w:rPr>
                <w:b/>
                <w:lang w:eastAsia="zh-CN"/>
              </w:rPr>
              <w:t xml:space="preserve">&lt; </w:t>
            </w:r>
            <w:r>
              <w:rPr>
                <w:b/>
                <w:highlight w:val="green"/>
                <w:lang w:eastAsia="zh-CN"/>
              </w:rPr>
              <w:t>Agreement</w:t>
            </w:r>
            <w:r>
              <w:rPr>
                <w:b/>
                <w:lang w:eastAsia="zh-CN"/>
              </w:rPr>
              <w:t>&gt;</w:t>
            </w:r>
            <w:r>
              <w:rPr>
                <w:lang w:eastAsia="zh-CN"/>
              </w:rPr>
              <w:t xml:space="preserve">: </w:t>
            </w:r>
          </w:p>
          <w:p>
            <w:pPr>
              <w:keepNext w:val="0"/>
              <w:keepLines w:val="0"/>
              <w:pageBreakBefore w:val="0"/>
              <w:widowControl w:val="0"/>
              <w:numPr>
                <w:ilvl w:val="0"/>
                <w:numId w:val="8"/>
              </w:numPr>
              <w:kinsoku/>
              <w:wordWrap/>
              <w:overflowPunct/>
              <w:topLinePunct w:val="0"/>
              <w:autoSpaceDE/>
              <w:autoSpaceDN/>
              <w:bidi w:val="0"/>
              <w:adjustRightInd/>
              <w:snapToGrid/>
              <w:textAlignment w:val="auto"/>
              <w:rPr>
                <w:lang w:eastAsia="zh-CN"/>
              </w:rPr>
            </w:pPr>
            <w:r>
              <w:rPr>
                <w:lang w:eastAsia="zh-CN"/>
              </w:rPr>
              <w:t>Gap sharing rules shall not be considered when the two gaps are with different priority.</w:t>
            </w:r>
          </w:p>
          <w:p>
            <w:pPr>
              <w:keepNext w:val="0"/>
              <w:keepLines w:val="0"/>
              <w:pageBreakBefore w:val="0"/>
              <w:widowControl/>
              <w:numPr>
                <w:ilvl w:val="0"/>
                <w:numId w:val="0"/>
              </w:numPr>
              <w:kinsoku/>
              <w:wordWrap/>
              <w:overflowPunct/>
              <w:topLinePunct w:val="0"/>
              <w:autoSpaceDE w:val="0"/>
              <w:autoSpaceDN w:val="0"/>
              <w:bidi w:val="0"/>
              <w:adjustRightInd w:val="0"/>
              <w:snapToGrid/>
              <w:spacing w:line="240" w:lineRule="auto"/>
              <w:textAlignment w:val="auto"/>
              <w:rPr>
                <w:rFonts w:hint="eastAsia"/>
                <w:lang w:val="en-US" w:eastAsia="ko-KR"/>
              </w:rPr>
            </w:pPr>
            <w:r>
              <w:rPr>
                <w:rFonts w:hint="eastAsia"/>
                <w:lang w:val="en-US" w:eastAsia="ko-KR"/>
              </w:rPr>
              <w:t xml:space="preserve">Issue </w:t>
            </w:r>
            <w:r>
              <w:rPr>
                <w:rFonts w:hint="eastAsia"/>
                <w:lang w:val="en-US" w:eastAsia="zh-CN"/>
              </w:rPr>
              <w:t>3</w:t>
            </w:r>
            <w:r>
              <w:rPr>
                <w:rFonts w:hint="eastAsia"/>
                <w:lang w:val="en-US" w:eastAsia="ko-KR"/>
              </w:rPr>
              <w:t>-4-1: [Case 2] Measurement delay</w:t>
            </w:r>
          </w:p>
          <w:p>
            <w:pPr>
              <w:keepNext w:val="0"/>
              <w:keepLines w:val="0"/>
              <w:pageBreakBefore w:val="0"/>
              <w:widowControl w:val="0"/>
              <w:kinsoku/>
              <w:wordWrap/>
              <w:overflowPunct/>
              <w:topLinePunct w:val="0"/>
              <w:autoSpaceDE/>
              <w:autoSpaceDN/>
              <w:bidi w:val="0"/>
              <w:adjustRightInd/>
              <w:snapToGrid/>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keepNext w:val="0"/>
              <w:keepLines w:val="0"/>
              <w:pageBreakBefore w:val="0"/>
              <w:widowControl w:val="0"/>
              <w:numPr>
                <w:ilvl w:val="0"/>
                <w:numId w:val="8"/>
              </w:numPr>
              <w:kinsoku/>
              <w:wordWrap/>
              <w:overflowPunct/>
              <w:topLinePunct w:val="0"/>
              <w:autoSpaceDE/>
              <w:autoSpaceDN/>
              <w:bidi w:val="0"/>
              <w:adjustRightInd/>
              <w:snapToGrid/>
              <w:textAlignment w:val="auto"/>
              <w:rPr>
                <w:lang w:eastAsia="zh-CN"/>
              </w:rPr>
            </w:pPr>
            <w:r>
              <w:rPr>
                <w:lang w:eastAsia="zh-CN"/>
              </w:rPr>
              <w:t>For NR SSB-based measurements performed within NCSG, the principle of defining CSSF, Kp and Kgap in Rel-17 concurrent MGs can be applied with the following updates</w:t>
            </w:r>
          </w:p>
          <w:p>
            <w:pPr>
              <w:keepNext w:val="0"/>
              <w:keepLines w:val="0"/>
              <w:pageBreakBefore w:val="0"/>
              <w:widowControl w:val="0"/>
              <w:numPr>
                <w:ilvl w:val="1"/>
                <w:numId w:val="8"/>
              </w:numPr>
              <w:kinsoku/>
              <w:wordWrap/>
              <w:overflowPunct/>
              <w:topLinePunct w:val="0"/>
              <w:autoSpaceDE/>
              <w:autoSpaceDN/>
              <w:bidi w:val="0"/>
              <w:adjustRightInd/>
              <w:snapToGrid/>
              <w:textAlignment w:val="auto"/>
              <w:rPr>
                <w:lang w:eastAsia="zh-CN"/>
              </w:rPr>
            </w:pPr>
            <w:r>
              <w:rPr>
                <w:lang w:eastAsia="zh-CN"/>
              </w:rPr>
              <w:t>A scaling factor Kgap needs to be added to account for collisions with other measurement gaps</w:t>
            </w:r>
          </w:p>
          <w:p>
            <w:pPr>
              <w:keepNext w:val="0"/>
              <w:keepLines w:val="0"/>
              <w:pageBreakBefore w:val="0"/>
              <w:widowControl w:val="0"/>
              <w:numPr>
                <w:ilvl w:val="1"/>
                <w:numId w:val="8"/>
              </w:numPr>
              <w:kinsoku/>
              <w:wordWrap/>
              <w:overflowPunct/>
              <w:topLinePunct w:val="0"/>
              <w:autoSpaceDE/>
              <w:autoSpaceDN/>
              <w:bidi w:val="0"/>
              <w:adjustRightInd/>
              <w:snapToGrid/>
              <w:textAlignment w:val="auto"/>
              <w:rPr>
                <w:lang w:eastAsia="zh-CN"/>
              </w:rPr>
            </w:pPr>
            <w:r>
              <w:rPr>
                <w:lang w:eastAsia="zh-CN"/>
              </w:rPr>
              <w:t>CSSF for each component gap is defined separately</w:t>
            </w:r>
          </w:p>
          <w:p>
            <w:pPr>
              <w:keepNext w:val="0"/>
              <w:keepLines w:val="0"/>
              <w:pageBreakBefore w:val="0"/>
              <w:widowControl/>
              <w:numPr>
                <w:ilvl w:val="0"/>
                <w:numId w:val="0"/>
              </w:numPr>
              <w:kinsoku/>
              <w:wordWrap/>
              <w:overflowPunct/>
              <w:topLinePunct w:val="0"/>
              <w:autoSpaceDE w:val="0"/>
              <w:autoSpaceDN w:val="0"/>
              <w:bidi w:val="0"/>
              <w:adjustRightInd w:val="0"/>
              <w:snapToGrid/>
              <w:spacing w:line="240" w:lineRule="auto"/>
              <w:textAlignment w:val="auto"/>
              <w:rPr>
                <w:rFonts w:hint="eastAsia"/>
                <w:lang w:val="en-US" w:eastAsia="ko-KR"/>
              </w:rPr>
            </w:pPr>
            <w:r>
              <w:rPr>
                <w:rFonts w:hint="eastAsia"/>
                <w:lang w:val="en-US" w:eastAsia="ko-KR"/>
              </w:rPr>
              <w:t xml:space="preserve">Issue </w:t>
            </w:r>
            <w:r>
              <w:rPr>
                <w:rFonts w:hint="eastAsia"/>
                <w:lang w:val="en-US" w:eastAsia="zh-CN"/>
              </w:rPr>
              <w:t>3</w:t>
            </w:r>
            <w:r>
              <w:rPr>
                <w:rFonts w:hint="eastAsia"/>
                <w:lang w:val="en-US" w:eastAsia="ko-KR"/>
              </w:rPr>
              <w:t>-4-2: [Case 2] Gap interruption</w:t>
            </w:r>
          </w:p>
          <w:p>
            <w:pPr>
              <w:pStyle w:val="58"/>
              <w:keepNext w:val="0"/>
              <w:keepLines w:val="0"/>
              <w:pageBreakBefore w:val="0"/>
              <w:widowControl w:val="0"/>
              <w:numPr>
                <w:ilvl w:val="1"/>
                <w:numId w:val="0"/>
              </w:numPr>
              <w:kinsoku/>
              <w:wordWrap/>
              <w:overflowPunct/>
              <w:topLinePunct w:val="0"/>
              <w:autoSpaceDE/>
              <w:autoSpaceDN/>
              <w:bidi w:val="0"/>
              <w:adjustRightInd/>
              <w:snapToGrid/>
              <w:spacing w:after="0"/>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keepNext w:val="0"/>
              <w:keepLines w:val="0"/>
              <w:pageBreakBefore w:val="0"/>
              <w:widowControl w:val="0"/>
              <w:numPr>
                <w:ilvl w:val="0"/>
                <w:numId w:val="8"/>
              </w:numPr>
              <w:kinsoku/>
              <w:wordWrap/>
              <w:overflowPunct/>
              <w:topLinePunct w:val="0"/>
              <w:autoSpaceDE/>
              <w:autoSpaceDN/>
              <w:bidi w:val="0"/>
              <w:adjustRightInd/>
              <w:snapToGrid/>
              <w:textAlignment w:val="auto"/>
              <w:rPr>
                <w:rFonts w:hint="eastAsia"/>
                <w:lang w:val="en-US" w:eastAsia="zh-CN"/>
              </w:rPr>
            </w:pPr>
            <w:r>
              <w:rPr>
                <w:rFonts w:hint="eastAsia"/>
                <w:lang w:eastAsia="zh-CN"/>
              </w:rPr>
              <w:t>No need to restrict the network configuration on the type of component gaps within the concurrent MGs</w:t>
            </w:r>
            <w:r>
              <w:rPr>
                <w:lang w:eastAsia="zh-CN"/>
              </w:rPr>
              <w:t>.</w:t>
            </w:r>
          </w:p>
        </w:tc>
      </w:tr>
    </w:tbl>
    <w:p>
      <w:pPr>
        <w:widowControl w:val="0"/>
        <w:numPr>
          <w:ilvl w:val="0"/>
          <w:numId w:val="0"/>
        </w:numPr>
        <w:jc w:val="both"/>
        <w:rPr>
          <w:rFonts w:hint="default" w:eastAsia="宋体"/>
          <w:color w:val="auto"/>
          <w:sz w:val="20"/>
          <w:szCs w:val="20"/>
          <w:lang w:val="en-US" w:eastAsia="zh-CN"/>
        </w:rPr>
      </w:pPr>
      <w:r>
        <w:rPr>
          <w:rFonts w:hint="eastAsia" w:eastAsia="宋体"/>
          <w:color w:val="auto"/>
          <w:sz w:val="20"/>
          <w:szCs w:val="20"/>
          <w:lang w:val="en-US" w:eastAsia="zh-CN"/>
        </w:rPr>
        <w:t>Still multiple issues were suspending. In this document, we provide some further analysis on the Case 2 of the joint consideration, focus on the following aspects.</w:t>
      </w:r>
    </w:p>
    <w:p>
      <w:pPr>
        <w:widowControl w:val="0"/>
        <w:numPr>
          <w:ilvl w:val="0"/>
          <w:numId w:val="9"/>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Scope and combinations</w:t>
      </w:r>
    </w:p>
    <w:p>
      <w:pPr>
        <w:widowControl w:val="0"/>
        <w:numPr>
          <w:ilvl w:val="0"/>
          <w:numId w:val="9"/>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Collision handling</w:t>
      </w:r>
    </w:p>
    <w:p>
      <w:pPr>
        <w:widowControl w:val="0"/>
        <w:numPr>
          <w:ilvl w:val="0"/>
          <w:numId w:val="9"/>
        </w:numPr>
        <w:ind w:left="42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Potential changes to gap association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Rel-17 phase, three topics i.e. pre-configured MGs, multiple concurrent MGs and NCSG  about measurement gap enhancement were discussed to achieve different aspects of enhancements. To consider more comprehensive, joint of the three topics were proposed during Rel-17 phase. However due to the timeline pressure, the joint consideration of the three topics was deprioritized in Rel-17.</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our opinion, pre-configured MG and NCSG are both enhanced measurement gap. Pre-configured MG can realize flexible activation/deactivation of MG according to the dynamic active BWP switching or some RRC re-configuration. NCSG is a “light” MG which can highly reduce the impact of interruption and scheduling restriction lead by measurement operation. </w:t>
      </w:r>
    </w:p>
    <w:p>
      <w:pPr>
        <w:pStyle w:val="8"/>
        <w:tabs>
          <w:tab w:val="left" w:pos="226"/>
          <w:tab w:val="left" w:pos="284"/>
          <w:tab w:val="left" w:pos="5103"/>
        </w:tabs>
        <w:snapToGrid w:val="0"/>
        <w:spacing w:before="156" w:beforeLines="50"/>
        <w:rPr>
          <w:rFonts w:hint="eastAsia"/>
          <w:lang w:val="en-US" w:eastAsia="zh-CN"/>
        </w:rPr>
      </w:pPr>
      <w:r>
        <w:rPr>
          <w:rFonts w:hint="eastAsia" w:eastAsia="宋体"/>
          <w:color w:val="auto"/>
          <w:sz w:val="20"/>
          <w:szCs w:val="20"/>
          <w:lang w:val="en-US" w:eastAsia="zh-CN"/>
        </w:rPr>
        <w:t>The enhancements of pre-configured MG and NCSG have respective motivations and can be applied to achieve specific performance gains. At the same time, to keep compatibility with existing legacy MG, supporting multiple concurrent MGs is necessary, so that UE can support pre-configured MG or NCSG, on the base of legacy MG supporting.</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Supporting concurrent MG is the precondition to realize performance gain caused by pre-configured MG or NCSG and keep compatibility with existing legacy MG simultaneously.</w:t>
      </w:r>
    </w:p>
    <w:p>
      <w:pPr>
        <w:pStyle w:val="3"/>
        <w:bidi w:val="0"/>
        <w:rPr>
          <w:rFonts w:hint="eastAsia" w:eastAsia="宋体"/>
          <w:color w:val="auto"/>
          <w:sz w:val="20"/>
          <w:szCs w:val="20"/>
          <w:lang w:val="en-US" w:eastAsia="zh-CN"/>
        </w:rPr>
      </w:pPr>
      <w:r>
        <w:rPr>
          <w:rFonts w:hint="eastAsia" w:ascii="Helvetica" w:hAnsi="Helvetica" w:eastAsia="宋体" w:cs="Times New Roman"/>
          <w:b/>
          <w:bCs/>
          <w:iCs w:val="0"/>
          <w:color w:val="auto"/>
          <w:kern w:val="32"/>
          <w:sz w:val="28"/>
          <w:szCs w:val="32"/>
          <w:lang w:val="en-US" w:eastAsia="zh-CN" w:bidi="ar-SA"/>
        </w:rPr>
        <w:t xml:space="preserve">2.1 </w:t>
      </w:r>
      <w:r>
        <w:rPr>
          <w:rFonts w:hint="eastAsia" w:eastAsia="宋体" w:cs="Times New Roman"/>
          <w:b/>
          <w:bCs/>
          <w:iCs w:val="0"/>
          <w:color w:val="auto"/>
          <w:kern w:val="32"/>
          <w:sz w:val="28"/>
          <w:szCs w:val="32"/>
          <w:lang w:val="en-US" w:eastAsia="zh-CN" w:bidi="ar-SA"/>
        </w:rPr>
        <w:t>Scope and</w:t>
      </w:r>
      <w:r>
        <w:rPr>
          <w:rFonts w:hint="eastAsia" w:ascii="Helvetica" w:hAnsi="Helvetica" w:eastAsia="宋体" w:cs="Times New Roman"/>
          <w:b/>
          <w:bCs/>
          <w:iCs w:val="0"/>
          <w:color w:val="auto"/>
          <w:kern w:val="32"/>
          <w:sz w:val="28"/>
          <w:szCs w:val="32"/>
          <w:lang w:val="en-US" w:eastAsia="zh-CN" w:bidi="ar-SA"/>
        </w:rPr>
        <w:t xml:space="preserve"> combinations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104bis meeting, for the sake of convenience, the following two definitions were identified: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10"/>
              </w:numPr>
              <w:autoSpaceDE w:val="0"/>
              <w:autoSpaceDN w:val="0"/>
              <w:adjustRightInd w:val="0"/>
              <w:spacing w:after="120" w:afterLines="50" w:line="240" w:lineRule="auto"/>
              <w:ind w:left="400" w:leftChars="200"/>
              <w:rPr>
                <w:lang w:eastAsia="zh-CN"/>
              </w:rPr>
            </w:pPr>
            <w:r>
              <w:rPr>
                <w:rFonts w:eastAsia="PMingLiU"/>
                <w:lang w:eastAsia="zh-TW"/>
              </w:rPr>
              <w:t xml:space="preserve">Type-1 MG: </w:t>
            </w:r>
            <w:r>
              <w:rPr>
                <w:szCs w:val="24"/>
                <w:lang w:eastAsia="zh-CN"/>
              </w:rPr>
              <w:t>Gap(s) configured via GapConfig without suffix</w:t>
            </w:r>
          </w:p>
          <w:p>
            <w:pPr>
              <w:numPr>
                <w:ilvl w:val="0"/>
                <w:numId w:val="10"/>
              </w:numPr>
              <w:autoSpaceDE w:val="0"/>
              <w:autoSpaceDN w:val="0"/>
              <w:adjustRightInd w:val="0"/>
              <w:spacing w:after="120" w:afterLines="50" w:line="240" w:lineRule="auto"/>
              <w:ind w:left="400" w:leftChars="200"/>
              <w:rPr>
                <w:rFonts w:hint="eastAsia" w:eastAsia="宋体"/>
                <w:color w:val="auto"/>
                <w:sz w:val="20"/>
                <w:szCs w:val="20"/>
                <w:vertAlign w:val="baseline"/>
                <w:lang w:val="en-US" w:eastAsia="zh-CN"/>
              </w:rPr>
            </w:pPr>
            <w:r>
              <w:rPr>
                <w:rFonts w:eastAsia="PMingLiU"/>
                <w:lang w:eastAsia="zh-TW"/>
              </w:rPr>
              <w:t xml:space="preserve">Type-2 MG: </w:t>
            </w:r>
            <w:r>
              <w:rPr>
                <w:szCs w:val="24"/>
                <w:lang w:eastAsia="zh-CN"/>
              </w:rPr>
              <w:t>Gap(s) configured via GapConfig-r17 without preConfigInd-r17 or ncsgInd-r17</w:t>
            </w:r>
            <w:r>
              <w:rPr>
                <w:rFonts w:hint="eastAsia"/>
                <w:szCs w:val="24"/>
                <w:lang w:val="en-US" w:eastAsia="zh-CN"/>
              </w:rPr>
              <w:t xml:space="preserve"> </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So we call the legacy R15/16 gap as Type-1 MG and the R17 concurrent gap as Type-2 MG. In our opinion, Case 2 can cover the following combinations between Type-1 MG, Type-2 MG and NCSG.</w:t>
      </w:r>
    </w:p>
    <w:p>
      <w:pPr>
        <w:pStyle w:val="8"/>
        <w:numPr>
          <w:ilvl w:val="0"/>
          <w:numId w:val="11"/>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Type-1 MG + NCSG</w:t>
      </w:r>
    </w:p>
    <w:p>
      <w:pPr>
        <w:pStyle w:val="8"/>
        <w:numPr>
          <w:ilvl w:val="0"/>
          <w:numId w:val="11"/>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Type-2 MG + NCSG</w:t>
      </w:r>
    </w:p>
    <w:p>
      <w:pPr>
        <w:pStyle w:val="8"/>
        <w:numPr>
          <w:ilvl w:val="0"/>
          <w:numId w:val="11"/>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NCSG + NCSG</w:t>
      </w:r>
    </w:p>
    <w:p>
      <w:pPr>
        <w:pStyle w:val="8"/>
        <w:rPr>
          <w:rFonts w:hint="eastAsia" w:eastAsia="宋体"/>
          <w:color w:val="auto"/>
          <w:sz w:val="20"/>
          <w:szCs w:val="20"/>
          <w:lang w:val="en-US" w:eastAsia="zh-CN"/>
        </w:rPr>
      </w:pPr>
      <w:r>
        <w:rPr>
          <w:rFonts w:hint="eastAsia" w:eastAsia="宋体"/>
          <w:color w:val="auto"/>
          <w:sz w:val="20"/>
          <w:szCs w:val="20"/>
          <w:lang w:val="en-US" w:eastAsia="zh-CN"/>
        </w:rPr>
        <w:t>Within all the candidates, whether NCSG + NCSG in an FR can be supported, which was discussed in last meeting. The following two options were kept and down-selection is needed: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numPr>
                <w:ilvl w:val="0"/>
                <w:numId w:val="8"/>
              </w:numPr>
              <w:kinsoku/>
              <w:wordWrap/>
              <w:overflowPunct/>
              <w:topLinePunct w:val="0"/>
              <w:autoSpaceDE/>
              <w:autoSpaceDN/>
              <w:bidi w:val="0"/>
              <w:adjustRightInd/>
              <w:snapToGrid/>
              <w:ind w:left="700" w:leftChars="0" w:hanging="360" w:firstLineChars="0"/>
              <w:textAlignment w:val="auto"/>
              <w:rPr>
                <w:lang w:eastAsia="zh-CN"/>
              </w:rPr>
            </w:pPr>
            <w:r>
              <w:rPr>
                <w:lang w:eastAsia="zh-CN"/>
              </w:rPr>
              <w:t>Option 1: Yes. FFS whether the same RF chain is assumed for the two NCSG patterns.</w:t>
            </w:r>
          </w:p>
          <w:p>
            <w:pPr>
              <w:keepNext w:val="0"/>
              <w:keepLines w:val="0"/>
              <w:pageBreakBefore w:val="0"/>
              <w:widowControl w:val="0"/>
              <w:numPr>
                <w:ilvl w:val="0"/>
                <w:numId w:val="8"/>
              </w:numPr>
              <w:kinsoku/>
              <w:wordWrap/>
              <w:overflowPunct/>
              <w:topLinePunct w:val="0"/>
              <w:autoSpaceDE/>
              <w:autoSpaceDN/>
              <w:bidi w:val="0"/>
              <w:adjustRightInd/>
              <w:snapToGrid/>
              <w:ind w:left="700" w:leftChars="0" w:hanging="360" w:firstLineChars="0"/>
              <w:textAlignment w:val="auto"/>
              <w:rPr>
                <w:rFonts w:hint="default" w:eastAsia="宋体"/>
                <w:color w:val="auto"/>
                <w:sz w:val="20"/>
                <w:szCs w:val="20"/>
                <w:vertAlign w:val="baseline"/>
                <w:lang w:val="en-US" w:eastAsia="zh-CN"/>
              </w:rPr>
            </w:pPr>
            <w:r>
              <w:rPr>
                <w:lang w:eastAsia="zh-CN"/>
              </w:rPr>
              <w:t>Option 3: Yes, up to UE capability</w:t>
            </w:r>
          </w:p>
        </w:tc>
      </w:tr>
    </w:tbl>
    <w:p>
      <w:pPr>
        <w:pStyle w:val="8"/>
        <w:rPr>
          <w:rFonts w:hint="default" w:eastAsia="宋体"/>
          <w:color w:val="auto"/>
          <w:sz w:val="20"/>
          <w:szCs w:val="20"/>
          <w:lang w:val="en-US" w:eastAsia="zh-CN"/>
        </w:rPr>
      </w:pPr>
      <w:r>
        <w:rPr>
          <w:rFonts w:hint="default" w:eastAsia="宋体"/>
          <w:color w:val="auto"/>
          <w:sz w:val="20"/>
          <w:szCs w:val="20"/>
          <w:lang w:val="en-US" w:eastAsia="zh-CN"/>
        </w:rPr>
        <w:t xml:space="preserve">In our opinion, the main reason to configure multiple </w:t>
      </w:r>
      <w:r>
        <w:rPr>
          <w:rFonts w:hint="eastAsia" w:eastAsia="宋体"/>
          <w:color w:val="auto"/>
          <w:sz w:val="20"/>
          <w:szCs w:val="20"/>
          <w:lang w:val="en-US" w:eastAsia="zh-CN"/>
        </w:rPr>
        <w:t xml:space="preserve">MGs </w:t>
      </w:r>
      <w:r>
        <w:rPr>
          <w:rFonts w:hint="default" w:eastAsia="宋体"/>
          <w:color w:val="auto"/>
          <w:sz w:val="20"/>
          <w:szCs w:val="20"/>
          <w:lang w:val="en-US" w:eastAsia="zh-CN"/>
        </w:rPr>
        <w:t xml:space="preserve">is that the reference signals on different frequency layers cannot be covered by one single </w:t>
      </w:r>
      <w:r>
        <w:rPr>
          <w:rFonts w:hint="eastAsia" w:eastAsia="宋体"/>
          <w:color w:val="auto"/>
          <w:sz w:val="20"/>
          <w:szCs w:val="20"/>
          <w:lang w:val="en-US" w:eastAsia="zh-CN"/>
        </w:rPr>
        <w:t>MG</w:t>
      </w:r>
      <w:r>
        <w:rPr>
          <w:rFonts w:hint="default" w:eastAsia="宋体"/>
          <w:color w:val="auto"/>
          <w:sz w:val="20"/>
          <w:szCs w:val="20"/>
          <w:lang w:val="en-US" w:eastAsia="zh-CN"/>
        </w:rPr>
        <w:t xml:space="preserve">. In order to further realize ‘light’ gap on condition that the RF architecture can support, so as to relieve the unnecessary interruption cased by Type-1 or Type-2 MG, NCSG can be configured with replace of Type-1/Type-2 MG. Even under R17 concurrent gap, two concurrent gaps in a same FR is still supported. </w:t>
      </w:r>
    </w:p>
    <w:p>
      <w:pPr>
        <w:pStyle w:val="8"/>
        <w:rPr>
          <w:rFonts w:hint="eastAsia" w:eastAsia="宋体"/>
          <w:color w:val="auto"/>
          <w:sz w:val="20"/>
          <w:szCs w:val="20"/>
          <w:lang w:val="en-US" w:eastAsia="zh-CN"/>
        </w:rPr>
      </w:pPr>
      <w:r>
        <w:rPr>
          <w:rFonts w:hint="eastAsia" w:eastAsia="宋体"/>
          <w:color w:val="auto"/>
          <w:sz w:val="20"/>
          <w:szCs w:val="20"/>
          <w:lang w:val="en-US" w:eastAsia="zh-CN"/>
        </w:rPr>
        <w:t>Regarding to the assumption of RF chain, for the UE capable of NCSG, the UE should have at least one idle RF chain used for measurement. So only the duration of RF chain on/off would lead to short interruption before and after the measurement. We do not believe additional UE capability is necessary to support such combination, since even only a single RF chain can be used for measurement, this single RF chain can also be shared between the two NCSG in the same FR. It seems that we do not need to restrict the number of RF chain used for measurement based on NCSG. If the two NCSG overlapping on some occasion, the priority rule can be used and the NCSG with lower priority would be dropped, the single RF chain is used for the measurement associated with the higher priority NCSG.</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combination of NCSG + NCSG in an FR can be supported, and no need related UE capability. Regarding to the assumption of RF chains, no need to restrict the number of RF chains, even a single idle RF chain can be shared between the measurements associated with the two NCSG.</w:t>
      </w:r>
    </w:p>
    <w:p>
      <w:pPr>
        <w:pStyle w:val="3"/>
        <w:bidi w:val="0"/>
        <w:rPr>
          <w:rFonts w:hint="eastAsi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Collision handling</w:t>
      </w:r>
    </w:p>
    <w:p>
      <w:pPr>
        <w:widowControl w:val="0"/>
        <w:numPr>
          <w:ilvl w:val="0"/>
          <w:numId w:val="0"/>
        </w:numPr>
        <w:ind w:leftChars="0"/>
        <w:jc w:val="both"/>
        <w:rPr>
          <w:rFonts w:hint="default"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Potential changes to Rel-17 proximity condition and UE behavior upon gap collision</w:t>
      </w:r>
    </w:p>
    <w:p>
      <w:pPr>
        <w:pStyle w:val="8"/>
        <w:rPr>
          <w:rFonts w:hint="eastAsia" w:eastAsia="宋体"/>
          <w:color w:val="auto"/>
          <w:sz w:val="20"/>
          <w:szCs w:val="20"/>
          <w:lang w:val="en-US" w:eastAsia="zh-CN"/>
        </w:rPr>
      </w:pPr>
      <w:r>
        <w:rPr>
          <w:rFonts w:hint="eastAsia" w:eastAsia="宋体"/>
          <w:color w:val="auto"/>
          <w:sz w:val="20"/>
          <w:szCs w:val="20"/>
          <w:lang w:val="en-US" w:eastAsia="zh-CN"/>
        </w:rPr>
        <w:t>Regarding to the proximity condition itself, in last meeting, RAN4 has approved that the baseline requirement considers the total NCSG duration, including both ML and VILs, so based on such agreement, reusing legacy proximity condition is enough to identify whether collision happens or not.</w:t>
      </w:r>
    </w:p>
    <w:p>
      <w:pPr>
        <w:pStyle w:val="8"/>
        <w:numPr>
          <w:ilvl w:val="0"/>
          <w:numId w:val="0"/>
        </w:numPr>
        <w:rPr>
          <w:rFonts w:hint="eastAsia"/>
          <w:lang w:val="en-US" w:eastAsia="zh-CN"/>
        </w:rPr>
      </w:pPr>
      <w:r>
        <w:rPr>
          <w:rFonts w:hint="eastAsia" w:eastAsia="宋体"/>
          <w:color w:val="auto"/>
          <w:sz w:val="20"/>
          <w:szCs w:val="20"/>
          <w:lang w:val="en-US" w:eastAsia="zh-CN"/>
        </w:rPr>
        <w:t xml:space="preserve">In addition, we believe RAN4 can further check whether canceling is always necessary for each collision occasion between NCSG and another MG since NCSG capable UE would have an idle RF chain </w:t>
      </w:r>
      <w:r>
        <w:rPr>
          <w:rFonts w:hint="eastAsia"/>
          <w:lang w:val="en-US" w:eastAsia="zh-CN"/>
        </w:rPr>
        <w:t xml:space="preserve">besides the RF chain used for data reception, and such idle RF chain can be used to perform NCSG based RRM measurement. But if another Type-1 or Type2 MG configured to the UE, it is a bit complicated since the necessity of NCSG is per band. So whether UE can simultaneously perform NCSG based measurement and Type-1 or Type2 MG based measurement at the overlapping case, in our opinion, which depends on the band of the associate MO. </w:t>
      </w:r>
    </w:p>
    <w:p>
      <w:pPr>
        <w:pStyle w:val="8"/>
        <w:numPr>
          <w:ilvl w:val="0"/>
          <w:numId w:val="0"/>
        </w:numPr>
        <w:rPr>
          <w:rFonts w:hint="eastAsia"/>
          <w:lang w:val="en-US" w:eastAsia="zh-CN"/>
        </w:rPr>
      </w:pPr>
      <w:r>
        <w:rPr>
          <w:rFonts w:hint="eastAsia"/>
          <w:lang w:val="en-US" w:eastAsia="zh-CN"/>
        </w:rPr>
        <w:t xml:space="preserve">Take the following figure. 1 as an example. NCSG+Type-1/-2 MG are configured for the UE. MO1 and MO2 are associated with the NCSG, therein MO1 is in band A, and MO2 is in band B. UE reports </w:t>
      </w:r>
      <w:r>
        <w:rPr>
          <w:rFonts w:hint="default"/>
          <w:lang w:val="en-US" w:eastAsia="zh-CN"/>
        </w:rPr>
        <w:t>‘</w:t>
      </w:r>
      <w:r>
        <w:rPr>
          <w:rFonts w:hint="eastAsia"/>
          <w:lang w:val="en-US" w:eastAsia="zh-CN"/>
        </w:rPr>
        <w:t>NCSG</w:t>
      </w:r>
      <w:r>
        <w:rPr>
          <w:rFonts w:hint="default"/>
          <w:lang w:val="en-US" w:eastAsia="zh-CN"/>
        </w:rPr>
        <w:t>’</w:t>
      </w:r>
      <w:r>
        <w:rPr>
          <w:rFonts w:hint="eastAsia"/>
          <w:lang w:val="en-US" w:eastAsia="zh-CN"/>
        </w:rPr>
        <w:t xml:space="preserve"> for band A, however reports </w:t>
      </w:r>
      <w:r>
        <w:rPr>
          <w:rFonts w:hint="default"/>
          <w:lang w:val="en-US" w:eastAsia="zh-CN"/>
        </w:rPr>
        <w:t>‘</w:t>
      </w:r>
      <w:r>
        <w:rPr>
          <w:rFonts w:hint="eastAsia"/>
          <w:lang w:val="en-US" w:eastAsia="zh-CN"/>
        </w:rPr>
        <w:t>no NCSG no gap</w:t>
      </w:r>
      <w:r>
        <w:rPr>
          <w:rFonts w:hint="default"/>
          <w:lang w:val="en-US" w:eastAsia="zh-CN"/>
        </w:rPr>
        <w:t>’</w:t>
      </w:r>
      <w:r>
        <w:rPr>
          <w:rFonts w:hint="eastAsia"/>
          <w:lang w:val="en-US" w:eastAsia="zh-CN"/>
        </w:rPr>
        <w:t xml:space="preserve"> for band B. During the three overlapping instance{#0, #1, #2}, in fact for Instance#1, neither of NCSG and Type-1/-2 MG needs to be canceled since UE has enough RF chains to perform RRM measurement for MO1 and MO3. </w:t>
      </w:r>
    </w:p>
    <w:p>
      <w:pPr>
        <w:pStyle w:val="8"/>
        <w:numPr>
          <w:ilvl w:val="0"/>
          <w:numId w:val="0"/>
        </w:numPr>
        <w:rPr>
          <w:rFonts w:hint="eastAsia"/>
          <w:lang w:val="en-US" w:eastAsia="zh-CN"/>
        </w:rPr>
      </w:pPr>
      <w:r>
        <w:rPr>
          <w:rFonts w:hint="eastAsia"/>
          <w:lang w:val="en-US" w:eastAsia="zh-CN"/>
        </w:rPr>
        <w:t xml:space="preserve">But for Instance #0 and #2, whether one of NCSG and Type-1/-2 MG should be canceled or not, which should be discussed. From the perspective of NCSG, during ML, UE can simultaneously perform MO2 measurement and data reception, then UE can not perform MO3 measurement since of no RF chain, i.e. the Type-1/-2 MG should be canceled. While from the perspective of legacy MG, during Type-1/-2 MG, the interruption of data reception would exist due to MO3 measurement. In fact the NCSG based MO2 measurement degrades to legacy MG based measurement since the interruption exists within the whole ML+2VIL. But neither Type-1/-2 MG nor NCSG should be canceled. It seems that two different results are both possible, i.e. canceling Type-1/-2 MG or keeping both NCSG and Type-1/-2 MG but the degradation of NCSG would happen in fact. </w:t>
      </w:r>
    </w:p>
    <w:p>
      <w:pPr>
        <w:pStyle w:val="8"/>
        <w:numPr>
          <w:ilvl w:val="0"/>
          <w:numId w:val="0"/>
        </w:numPr>
        <w:rPr>
          <w:rFonts w:hint="default"/>
          <w:lang w:val="en-US" w:eastAsia="zh-CN"/>
        </w:rPr>
      </w:pPr>
      <w:r>
        <w:rPr>
          <w:rFonts w:hint="eastAsia"/>
          <w:lang w:val="en-US" w:eastAsia="zh-CN"/>
        </w:rPr>
        <w:t>Maybe we can decide between the two possibilities depending on the priority. If NCSG has higher priority, which means the handling should come from the perspective of NCSG, i.e. Type-1/-2 MG should be canceled. While if Type-1/-2 MG has higher priority, the handling should come from the perspective of Type-1/-2 MG, i.e. neither NCSG nor Type-1/-2 MG is to be canceled but degradation of NCSG happens.</w:t>
      </w:r>
    </w:p>
    <w:p>
      <w:pPr>
        <w:pStyle w:val="8"/>
        <w:numPr>
          <w:ilvl w:val="0"/>
          <w:numId w:val="0"/>
        </w:numPr>
        <w:jc w:val="center"/>
      </w:pPr>
      <w:r>
        <w:drawing>
          <wp:inline distT="0" distB="0" distL="114300" distR="114300">
            <wp:extent cx="5311140" cy="239268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311140" cy="2392680"/>
                    </a:xfrm>
                    <a:prstGeom prst="rect">
                      <a:avLst/>
                    </a:prstGeom>
                    <a:noFill/>
                    <a:ln>
                      <a:noFill/>
                    </a:ln>
                  </pic:spPr>
                </pic:pic>
              </a:graphicData>
            </a:graphic>
          </wp:inline>
        </w:drawing>
      </w:r>
    </w:p>
    <w:p>
      <w:pPr>
        <w:pStyle w:val="8"/>
        <w:numPr>
          <w:ilvl w:val="0"/>
          <w:numId w:val="0"/>
        </w:numPr>
        <w:jc w:val="center"/>
        <w:rPr>
          <w:rFonts w:hint="eastAsia" w:eastAsia="宋体"/>
          <w:lang w:val="en-US" w:eastAsia="zh-CN"/>
        </w:rPr>
      </w:pPr>
      <w:r>
        <w:rPr>
          <w:rFonts w:hint="eastAsia" w:eastAsia="宋体"/>
          <w:lang w:val="en-US" w:eastAsia="zh-CN"/>
        </w:rPr>
        <w:t>Figure. 1</w:t>
      </w:r>
    </w:p>
    <w:p>
      <w:pPr>
        <w:pStyle w:val="8"/>
        <w:numPr>
          <w:ilvl w:val="0"/>
          <w:numId w:val="0"/>
        </w:numPr>
        <w:jc w:val="both"/>
        <w:rPr>
          <w:rFonts w:hint="eastAsia" w:eastAsia="宋体"/>
          <w:lang w:val="en-US" w:eastAsia="zh-CN"/>
        </w:rPr>
      </w:pPr>
      <w:r>
        <w:rPr>
          <w:rFonts w:hint="eastAsia" w:eastAsia="宋体"/>
          <w:lang w:val="en-US" w:eastAsia="zh-CN"/>
        </w:rPr>
        <w:t>Based on above analysis on Figure.1, we have the following proposals.</w:t>
      </w:r>
    </w:p>
    <w:p>
      <w:pPr>
        <w:pStyle w:val="8"/>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For Case 2, the collision handling can be further checked since in fact the gap canceling is not always necessary when collision happens since of the necessity of NCSG is per band for the UE capable of NCSG. </w:t>
      </w:r>
    </w:p>
    <w:p>
      <w:pPr>
        <w:pStyle w:val="8"/>
        <w:numPr>
          <w:ilvl w:val="0"/>
          <w:numId w:val="12"/>
        </w:numPr>
        <w:ind w:left="84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the collision instance, if no MO needs NCSG, no need to cancel any one between NCSG and another MG(NCSG);</w:t>
      </w:r>
    </w:p>
    <w:p>
      <w:pPr>
        <w:pStyle w:val="8"/>
        <w:numPr>
          <w:ilvl w:val="0"/>
          <w:numId w:val="12"/>
        </w:numPr>
        <w:ind w:left="84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For the collision instance, if at least one MO needs NCSG, there are two possible solutions of collision handling: </w:t>
      </w:r>
    </w:p>
    <w:p>
      <w:pPr>
        <w:pStyle w:val="8"/>
        <w:numPr>
          <w:ilvl w:val="1"/>
          <w:numId w:val="12"/>
        </w:numPr>
        <w:ind w:left="126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keep both NCSG and another MG(NCSG) at the price of NCSG degradation to legacy MG;</w:t>
      </w:r>
    </w:p>
    <w:p>
      <w:pPr>
        <w:pStyle w:val="8"/>
        <w:numPr>
          <w:ilvl w:val="1"/>
          <w:numId w:val="12"/>
        </w:numPr>
        <w:ind w:left="126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Cancel the another MG or the lower priority of NCSG.</w:t>
      </w:r>
    </w:p>
    <w:p>
      <w:pPr>
        <w:pStyle w:val="8"/>
        <w:numPr>
          <w:ilvl w:val="0"/>
          <w:numId w:val="12"/>
        </w:numPr>
        <w:ind w:left="840" w:leftChars="0" w:hanging="420" w:firstLineChars="0"/>
        <w:rPr>
          <w:rFonts w:hint="default" w:eastAsia="宋体"/>
          <w:lang w:val="en-US" w:eastAsia="zh-CN"/>
        </w:rPr>
      </w:pPr>
      <w:r>
        <w:rPr>
          <w:rFonts w:hint="eastAsia" w:eastAsia="宋体" w:cs="Times New Roman"/>
          <w:b/>
          <w:bCs/>
          <w:color w:val="auto"/>
          <w:sz w:val="20"/>
          <w:szCs w:val="20"/>
          <w:highlight w:val="none"/>
          <w:lang w:val="en-US" w:eastAsia="zh-CN" w:bidi="ar-SA"/>
        </w:rPr>
        <w:t>Which solution should be applied, it can be decided by the priority order. If the NCSG has higher priority than the another MG, then cancel the MG; Otherwise, neither of them would be canceled but at the price of NCSG degradation to legacy MG.</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 xml:space="preserve">2.3 </w:t>
      </w:r>
      <w:r>
        <w:rPr>
          <w:rFonts w:hint="default" w:ascii="Helvetica" w:hAnsi="Helvetica" w:eastAsia="宋体" w:cs="Times New Roman"/>
          <w:b/>
          <w:bCs/>
          <w:iCs w:val="0"/>
          <w:color w:val="auto"/>
          <w:kern w:val="32"/>
          <w:sz w:val="28"/>
          <w:szCs w:val="32"/>
          <w:lang w:val="en-US" w:eastAsia="zh-CN" w:bidi="ar-SA"/>
        </w:rPr>
        <w:t>Potential changes to gap association</w:t>
      </w:r>
    </w:p>
    <w:p>
      <w:pPr>
        <w:pStyle w:val="8"/>
        <w:rPr>
          <w:rFonts w:hint="eastAsia" w:eastAsia="宋体"/>
          <w:lang w:val="en-US" w:eastAsia="zh-CN"/>
        </w:rPr>
      </w:pPr>
      <w:r>
        <w:rPr>
          <w:rFonts w:hint="eastAsia" w:eastAsia="宋体"/>
          <w:lang w:val="en-US" w:eastAsia="zh-CN"/>
        </w:rPr>
        <w:t>Regarding to the gap association, in our opinion reusing the Rel-17 association rule is the baseline. Besides this, some other consideration related with the activated/deactivated SCell was referred by some companies. The following options were kept in the WF[3] of 104bis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1"/>
                <w:numId w:val="10"/>
              </w:numPr>
              <w:kinsoku/>
              <w:wordWrap/>
              <w:overflowPunct/>
              <w:topLinePunct w:val="0"/>
              <w:autoSpaceDE w:val="0"/>
              <w:autoSpaceDN w:val="0"/>
              <w:bidi w:val="0"/>
              <w:adjustRightInd w:val="0"/>
              <w:snapToGrid/>
              <w:spacing w:line="240" w:lineRule="auto"/>
              <w:ind w:hanging="420"/>
              <w:textAlignment w:val="auto"/>
              <w:rPr>
                <w:rFonts w:eastAsia="PMingLiU"/>
                <w:szCs w:val="24"/>
                <w:lang w:eastAsia="zh-TW"/>
              </w:rPr>
            </w:pPr>
            <w:r>
              <w:rPr>
                <w:rFonts w:eastAsia="PMingLiU"/>
                <w:szCs w:val="24"/>
                <w:lang w:eastAsia="zh-TW"/>
              </w:rPr>
              <w:t>Option 1: RAN4 to further discuss the issue of association of SCell MO in following cases.</w:t>
            </w:r>
          </w:p>
          <w:p>
            <w:pPr>
              <w:keepNext w:val="0"/>
              <w:keepLines w:val="0"/>
              <w:pageBreakBefore w:val="0"/>
              <w:widowControl/>
              <w:numPr>
                <w:ilvl w:val="2"/>
                <w:numId w:val="10"/>
              </w:numPr>
              <w:kinsoku/>
              <w:wordWrap/>
              <w:overflowPunct/>
              <w:topLinePunct w:val="0"/>
              <w:autoSpaceDE w:val="0"/>
              <w:autoSpaceDN w:val="0"/>
              <w:bidi w:val="0"/>
              <w:adjustRightInd w:val="0"/>
              <w:snapToGrid/>
              <w:spacing w:line="240" w:lineRule="auto"/>
              <w:ind w:hanging="420"/>
              <w:textAlignment w:val="auto"/>
              <w:rPr>
                <w:rFonts w:eastAsia="PMingLiU"/>
                <w:szCs w:val="24"/>
                <w:lang w:eastAsia="zh-TW"/>
              </w:rPr>
            </w:pPr>
            <w:r>
              <w:rPr>
                <w:rFonts w:eastAsia="PMingLiU"/>
                <w:szCs w:val="24"/>
                <w:lang w:eastAsia="zh-TW"/>
              </w:rPr>
              <w:t>Case a: the MO requires MG when SCell is activated</w:t>
            </w:r>
          </w:p>
          <w:p>
            <w:pPr>
              <w:keepNext w:val="0"/>
              <w:keepLines w:val="0"/>
              <w:pageBreakBefore w:val="0"/>
              <w:widowControl/>
              <w:numPr>
                <w:ilvl w:val="2"/>
                <w:numId w:val="10"/>
              </w:numPr>
              <w:kinsoku/>
              <w:wordWrap/>
              <w:overflowPunct/>
              <w:topLinePunct w:val="0"/>
              <w:autoSpaceDE w:val="0"/>
              <w:autoSpaceDN w:val="0"/>
              <w:bidi w:val="0"/>
              <w:adjustRightInd w:val="0"/>
              <w:snapToGrid/>
              <w:spacing w:line="240" w:lineRule="auto"/>
              <w:ind w:hanging="420"/>
              <w:textAlignment w:val="auto"/>
              <w:rPr>
                <w:rFonts w:eastAsia="PMingLiU"/>
                <w:szCs w:val="24"/>
                <w:lang w:eastAsia="zh-TW"/>
              </w:rPr>
            </w:pPr>
            <w:r>
              <w:rPr>
                <w:rFonts w:eastAsia="PMingLiU"/>
                <w:szCs w:val="24"/>
                <w:lang w:eastAsia="zh-TW"/>
              </w:rPr>
              <w:t>Case c: the MO does not require MG or NCSG when SCell is activated</w:t>
            </w:r>
          </w:p>
          <w:p>
            <w:pPr>
              <w:keepNext w:val="0"/>
              <w:keepLines w:val="0"/>
              <w:pageBreakBefore w:val="0"/>
              <w:widowControl/>
              <w:numPr>
                <w:ilvl w:val="1"/>
                <w:numId w:val="10"/>
              </w:numPr>
              <w:kinsoku/>
              <w:wordWrap/>
              <w:overflowPunct/>
              <w:topLinePunct w:val="0"/>
              <w:autoSpaceDE w:val="0"/>
              <w:autoSpaceDN w:val="0"/>
              <w:bidi w:val="0"/>
              <w:adjustRightInd w:val="0"/>
              <w:snapToGrid/>
              <w:spacing w:line="240" w:lineRule="auto"/>
              <w:ind w:hanging="420"/>
              <w:textAlignment w:val="auto"/>
              <w:rPr>
                <w:rFonts w:eastAsia="PMingLiU"/>
                <w:szCs w:val="24"/>
                <w:lang w:eastAsia="zh-TW"/>
              </w:rPr>
            </w:pPr>
            <w:r>
              <w:rPr>
                <w:rFonts w:eastAsia="PMingLiU"/>
                <w:szCs w:val="24"/>
                <w:lang w:eastAsia="zh-TW"/>
              </w:rPr>
              <w:t>Option 2: When NW configures a NCSG and a Con-MG in ConMGs, RAN4 to further discuss how to handle the scenario when a deactivated SCell(within NCSG) transfers to an activated SCell and the related MO had to be measured within MG.</w:t>
            </w:r>
          </w:p>
          <w:p>
            <w:pPr>
              <w:keepNext w:val="0"/>
              <w:keepLines w:val="0"/>
              <w:pageBreakBefore w:val="0"/>
              <w:widowControl/>
              <w:numPr>
                <w:ilvl w:val="2"/>
                <w:numId w:val="10"/>
              </w:numPr>
              <w:kinsoku/>
              <w:wordWrap/>
              <w:overflowPunct/>
              <w:topLinePunct w:val="0"/>
              <w:autoSpaceDE w:val="0"/>
              <w:autoSpaceDN w:val="0"/>
              <w:bidi w:val="0"/>
              <w:adjustRightInd w:val="0"/>
              <w:snapToGrid/>
              <w:spacing w:line="240" w:lineRule="auto"/>
              <w:ind w:hanging="420"/>
              <w:textAlignment w:val="auto"/>
              <w:rPr>
                <w:rFonts w:eastAsia="PMingLiU"/>
                <w:szCs w:val="24"/>
                <w:lang w:eastAsia="zh-TW"/>
              </w:rPr>
            </w:pPr>
            <w:r>
              <w:rPr>
                <w:rFonts w:eastAsia="PMingLiU"/>
                <w:szCs w:val="24"/>
                <w:lang w:eastAsia="zh-TW"/>
              </w:rPr>
              <w:t>The deactivated SCell’s MO can be implicitly associated with the NCSG if no explicitly association is configured.</w:t>
            </w:r>
          </w:p>
          <w:p>
            <w:pPr>
              <w:keepNext w:val="0"/>
              <w:keepLines w:val="0"/>
              <w:pageBreakBefore w:val="0"/>
              <w:widowControl/>
              <w:numPr>
                <w:ilvl w:val="2"/>
                <w:numId w:val="10"/>
              </w:numPr>
              <w:kinsoku/>
              <w:wordWrap/>
              <w:overflowPunct/>
              <w:topLinePunct w:val="0"/>
              <w:autoSpaceDE w:val="0"/>
              <w:autoSpaceDN w:val="0"/>
              <w:bidi w:val="0"/>
              <w:adjustRightInd w:val="0"/>
              <w:snapToGrid/>
              <w:spacing w:line="240" w:lineRule="auto"/>
              <w:ind w:hanging="420"/>
              <w:textAlignment w:val="auto"/>
              <w:rPr>
                <w:rFonts w:eastAsia="PMingLiU"/>
                <w:szCs w:val="24"/>
                <w:lang w:eastAsia="zh-TW"/>
              </w:rPr>
            </w:pPr>
            <w:r>
              <w:rPr>
                <w:rFonts w:eastAsia="PMingLiU"/>
                <w:szCs w:val="24"/>
                <w:lang w:eastAsia="zh-TW"/>
              </w:rPr>
              <w:t>After SCell activation, the deactivated SCell’s MO can be measured within MG autonomously if the related SSB is outside the active BWP.</w:t>
            </w:r>
          </w:p>
          <w:p>
            <w:pPr>
              <w:keepNext w:val="0"/>
              <w:keepLines w:val="0"/>
              <w:pageBreakBefore w:val="0"/>
              <w:widowControl/>
              <w:numPr>
                <w:ilvl w:val="1"/>
                <w:numId w:val="10"/>
              </w:numPr>
              <w:kinsoku/>
              <w:wordWrap/>
              <w:overflowPunct/>
              <w:topLinePunct w:val="0"/>
              <w:autoSpaceDE w:val="0"/>
              <w:autoSpaceDN w:val="0"/>
              <w:bidi w:val="0"/>
              <w:adjustRightInd w:val="0"/>
              <w:snapToGrid/>
              <w:spacing w:line="240" w:lineRule="auto"/>
              <w:ind w:hanging="420"/>
              <w:textAlignment w:val="auto"/>
              <w:rPr>
                <w:rFonts w:hint="default" w:eastAsia="宋体"/>
                <w:vertAlign w:val="baseline"/>
                <w:lang w:val="en-US" w:eastAsia="zh-CN"/>
              </w:rPr>
            </w:pPr>
            <w:r>
              <w:rPr>
                <w:rFonts w:eastAsia="PMingLiU"/>
                <w:szCs w:val="24"/>
                <w:lang w:eastAsia="zh-TW"/>
              </w:rPr>
              <w:t>Option 3: Reuse Rel-17 association rule</w:t>
            </w:r>
            <w:r>
              <w:rPr>
                <w:rFonts w:hint="eastAsia" w:eastAsia="宋体"/>
                <w:szCs w:val="24"/>
                <w:lang w:val="en-US" w:eastAsia="zh-CN"/>
              </w:rPr>
              <w:t xml:space="preserve"> </w:t>
            </w:r>
          </w:p>
          <w:p>
            <w:pPr>
              <w:keepNext w:val="0"/>
              <w:keepLines w:val="0"/>
              <w:pageBreakBefore w:val="0"/>
              <w:widowControl/>
              <w:numPr>
                <w:ilvl w:val="1"/>
                <w:numId w:val="10"/>
              </w:numPr>
              <w:kinsoku/>
              <w:wordWrap/>
              <w:overflowPunct/>
              <w:topLinePunct w:val="0"/>
              <w:autoSpaceDE w:val="0"/>
              <w:autoSpaceDN w:val="0"/>
              <w:bidi w:val="0"/>
              <w:adjustRightInd w:val="0"/>
              <w:snapToGrid/>
              <w:spacing w:line="240" w:lineRule="auto"/>
              <w:ind w:hanging="420"/>
              <w:textAlignment w:val="auto"/>
              <w:rPr>
                <w:rFonts w:hint="default" w:eastAsia="宋体"/>
                <w:vertAlign w:val="baseline"/>
                <w:lang w:val="en-US" w:eastAsia="zh-CN"/>
              </w:rPr>
            </w:pPr>
            <w:r>
              <w:rPr>
                <w:szCs w:val="24"/>
                <w:lang w:eastAsia="zh-TW"/>
              </w:rPr>
              <w:t>Others are not precluded.</w:t>
            </w:r>
          </w:p>
        </w:tc>
      </w:tr>
    </w:tbl>
    <w:p>
      <w:pPr>
        <w:pStyle w:val="8"/>
        <w:rPr>
          <w:rFonts w:hint="eastAsia" w:eastAsia="宋体"/>
          <w:lang w:val="en-US" w:eastAsia="zh-CN"/>
        </w:rPr>
      </w:pPr>
      <w:r>
        <w:rPr>
          <w:rFonts w:hint="eastAsia" w:eastAsia="宋体"/>
          <w:lang w:val="en-US" w:eastAsia="zh-CN"/>
        </w:rPr>
        <w:t>During 105 meeting, the related proposal was also referred to:</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3"/>
              </w:numPr>
              <w:kinsoku/>
              <w:wordWrap/>
              <w:overflowPunct/>
              <w:topLinePunct w:val="0"/>
              <w:autoSpaceDE/>
              <w:autoSpaceDN/>
              <w:bidi w:val="0"/>
              <w:adjustRightInd/>
              <w:snapToGrid/>
              <w:ind w:left="516" w:leftChars="0" w:hanging="360" w:firstLineChars="0"/>
              <w:textAlignment w:val="auto"/>
              <w:rPr>
                <w:rFonts w:eastAsia="宋体"/>
                <w:szCs w:val="24"/>
                <w:lang w:eastAsia="zh-CN"/>
              </w:rPr>
            </w:pPr>
            <w:r>
              <w:rPr>
                <w:rFonts w:eastAsia="宋体"/>
                <w:szCs w:val="24"/>
                <w:lang w:eastAsia="zh-CN"/>
              </w:rPr>
              <w:t xml:space="preserve">Option 1: </w:t>
            </w:r>
          </w:p>
          <w:p>
            <w:pPr>
              <w:pStyle w:val="58"/>
              <w:bidi w:val="0"/>
              <w:ind w:left="1236" w:leftChars="0" w:hanging="360" w:firstLineChars="0"/>
              <w:rPr>
                <w:rFonts w:hint="default"/>
                <w:lang w:val="en-US" w:eastAsia="zh-CN"/>
              </w:rPr>
            </w:pPr>
            <w:r>
              <w:rPr>
                <w:lang w:eastAsia="zh-TW"/>
              </w:rPr>
              <w:t>RAN4 to study possibility of parallel measurements when NW only configures the deactivated SCells’ measurement objects associating with two NCSG patterns</w:t>
            </w:r>
          </w:p>
        </w:tc>
      </w:tr>
    </w:tbl>
    <w:p>
      <w:pPr>
        <w:pStyle w:val="8"/>
        <w:rPr>
          <w:rFonts w:hint="eastAsia" w:eastAsia="宋体"/>
          <w:lang w:val="en-US" w:eastAsia="zh-CN"/>
        </w:rPr>
      </w:pPr>
      <w:r>
        <w:rPr>
          <w:rFonts w:hint="eastAsia" w:eastAsia="宋体"/>
          <w:lang w:val="en-US" w:eastAsia="zh-CN"/>
        </w:rPr>
        <w:t>It seems that both Option 1 and 2 focus on the MO accompanied with the SCell activation/deactivation change. Since in Rel-17, the deactivated SCell is agreed to be measured within NCSG instead of outside gap if NW configures NCSG. However, when NW configures SCell activation, the related SSB to be measured may be outside active BWP. In such case, the MO can</w:t>
      </w:r>
      <w:r>
        <w:rPr>
          <w:rFonts w:hint="default" w:eastAsia="宋体"/>
          <w:lang w:val="en-US" w:eastAsia="zh-CN"/>
        </w:rPr>
        <w:t>’</w:t>
      </w:r>
      <w:r>
        <w:rPr>
          <w:rFonts w:hint="eastAsia" w:eastAsia="宋体"/>
          <w:lang w:val="en-US" w:eastAsia="zh-CN"/>
        </w:rPr>
        <w:t>t be measured in the NCSG, then how to address the MO association, which should be identified.</w:t>
      </w:r>
    </w:p>
    <w:p>
      <w:pPr>
        <w:pStyle w:val="8"/>
        <w:rPr>
          <w:rFonts w:hint="eastAsia" w:eastAsia="宋体"/>
          <w:lang w:val="en-US" w:eastAsia="zh-CN"/>
        </w:rPr>
      </w:pPr>
      <w:r>
        <w:rPr>
          <w:rFonts w:hint="eastAsia" w:eastAsia="宋体"/>
          <w:lang w:val="en-US" w:eastAsia="zh-CN"/>
        </w:rPr>
        <w:t>In our opinion, two solutions can be used to address the association of MO in deactivated SCell with the consideration of the SCell activation/deactivation switching.</w:t>
      </w:r>
    </w:p>
    <w:p>
      <w:pPr>
        <w:pStyle w:val="8"/>
        <w:numPr>
          <w:ilvl w:val="0"/>
          <w:numId w:val="13"/>
        </w:numPr>
        <w:rPr>
          <w:rFonts w:hint="eastAsia" w:eastAsia="宋体"/>
          <w:lang w:val="en-US" w:eastAsia="zh-CN"/>
        </w:rPr>
      </w:pPr>
      <w:r>
        <w:rPr>
          <w:rFonts w:hint="eastAsia" w:eastAsia="宋体"/>
          <w:lang w:val="en-US" w:eastAsia="zh-CN"/>
        </w:rPr>
        <w:t>Solution 1: Some implicit association rules are introduced;</w:t>
      </w:r>
    </w:p>
    <w:p>
      <w:pPr>
        <w:pStyle w:val="8"/>
        <w:numPr>
          <w:ilvl w:val="0"/>
          <w:numId w:val="13"/>
        </w:numPr>
        <w:ind w:left="0" w:leftChars="0" w:firstLine="0" w:firstLineChars="0"/>
        <w:rPr>
          <w:rFonts w:hint="eastAsia" w:eastAsia="宋体"/>
          <w:lang w:val="en-US" w:eastAsia="zh-CN"/>
        </w:rPr>
      </w:pPr>
      <w:r>
        <w:rPr>
          <w:rFonts w:hint="eastAsia" w:eastAsia="宋体"/>
          <w:lang w:val="en-US" w:eastAsia="zh-CN"/>
        </w:rPr>
        <w:t>Solution 2: Instead of introducing any implicit association rule, but to provide some additional clarification for the NCSG capability with the consideration of activation/deactivation switching.</w:t>
      </w:r>
    </w:p>
    <w:p>
      <w:pPr>
        <w:pStyle w:val="8"/>
        <w:rPr>
          <w:rFonts w:hint="eastAsia" w:eastAsia="宋体"/>
          <w:lang w:val="en-US" w:eastAsia="zh-CN"/>
        </w:rPr>
      </w:pPr>
      <w:r>
        <w:rPr>
          <w:rFonts w:hint="eastAsia" w:eastAsia="宋体"/>
          <w:lang w:val="en-US" w:eastAsia="zh-CN"/>
        </w:rPr>
        <w:t>For Solution 1, similar as the proposal in Option 2, after the SCell activation, if the deactivated SCell</w:t>
      </w:r>
      <w:r>
        <w:rPr>
          <w:rFonts w:hint="default" w:eastAsia="宋体"/>
          <w:lang w:val="en-US" w:eastAsia="zh-CN"/>
        </w:rPr>
        <w:t>’</w:t>
      </w:r>
      <w:r>
        <w:rPr>
          <w:rFonts w:hint="eastAsia" w:eastAsia="宋体"/>
          <w:lang w:val="en-US" w:eastAsia="zh-CN"/>
        </w:rPr>
        <w:t>s MO can not be measurement within NCSG, then it is autonomously associated with another MG(Type-1/-2 MG). If the SCell keeps in deactivation, the MO can be measured within the NCSG as originally configured.</w:t>
      </w:r>
    </w:p>
    <w:p>
      <w:pPr>
        <w:pStyle w:val="8"/>
        <w:rPr>
          <w:rFonts w:hint="eastAsia" w:eastAsia="宋体"/>
          <w:lang w:val="en-US" w:eastAsia="zh-CN"/>
        </w:rPr>
      </w:pPr>
      <w:r>
        <w:rPr>
          <w:rFonts w:hint="eastAsia" w:eastAsia="宋体"/>
          <w:lang w:val="en-US" w:eastAsia="zh-CN"/>
        </w:rPr>
        <w:t>For Solution 2, it demands that if UE cannot support NCSG when the SCell is activated and the MO cannot be covered by at least one of the BWPs, UE shall not claim support of NCSG for this band. So once the UE report NCSG is capable for a certain band, which means no matter the SCell in this band is activated or deactivated, the MO belonging to the SCell can always be measured within NCSG.</w:t>
      </w:r>
    </w:p>
    <w:p>
      <w:pPr>
        <w:pStyle w:val="8"/>
        <w:rPr>
          <w:rFonts w:hint="eastAsia" w:eastAsia="宋体"/>
          <w:lang w:val="en-US" w:eastAsia="zh-CN"/>
        </w:rPr>
      </w:pPr>
      <w:r>
        <w:rPr>
          <w:rFonts w:hint="eastAsia" w:eastAsia="宋体"/>
          <w:lang w:val="en-US" w:eastAsia="zh-CN"/>
        </w:rPr>
        <w:t xml:space="preserve">Comparing Solution 1 and Solution 2, we prefer Solution 2, which is more reliable. Since according to Rel-17 NCSG, the report of </w:t>
      </w:r>
      <w:r>
        <w:rPr>
          <w:rFonts w:hint="default" w:eastAsia="宋体"/>
          <w:lang w:val="en-US" w:eastAsia="zh-CN"/>
        </w:rPr>
        <w:t>‘</w:t>
      </w:r>
      <w:r>
        <w:rPr>
          <w:rFonts w:hint="eastAsia" w:eastAsia="宋体"/>
          <w:lang w:val="en-US" w:eastAsia="zh-CN"/>
        </w:rPr>
        <w:t>no-gap-no-ncsg</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w:t>
      </w:r>
      <w:r>
        <w:rPr>
          <w:rFonts w:hint="eastAsia" w:eastAsia="宋体"/>
          <w:lang w:val="en-US" w:eastAsia="zh-CN"/>
        </w:rPr>
        <w:t>ncsg</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rPr>
          <w:rFonts w:hint="eastAsia" w:eastAsia="宋体"/>
          <w:lang w:val="en-US" w:eastAsia="zh-CN"/>
        </w:rPr>
        <w:t>gap</w:t>
      </w:r>
      <w:r>
        <w:rPr>
          <w:rFonts w:hint="default" w:eastAsia="宋体"/>
          <w:lang w:val="en-US" w:eastAsia="zh-CN"/>
        </w:rPr>
        <w:t>’</w:t>
      </w:r>
      <w:r>
        <w:rPr>
          <w:rFonts w:hint="eastAsia" w:eastAsia="宋体"/>
          <w:lang w:val="en-US" w:eastAsia="zh-CN"/>
        </w:rPr>
        <w:t xml:space="preserve"> is per band type, so if UE report different capabilities for multiple bands, which type of MG would be configured, it is completely up to NW. The UE report can only be triggered by RRC reconfiguration, while some NW configuration update can be MAC CE based, such as the SCell activation referred here. So in fact the UE report can not update in time with such MAC CE based NW configuration update. Request UE to be responsible for the capability report considering all possible MAC CE triggered NW configuration update, which is the most reliable and simple solution comparing with to discuss all potential implicit association rule.</w:t>
      </w:r>
    </w:p>
    <w:p>
      <w:pPr>
        <w:pStyle w:val="8"/>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According to Rel-17 NCSG, the report of ‘no-gap-no-ncsg’, ‘ncsg’ and ‘gap’ is per band type, so if UE report different capabilities for multiple bands, which type of MG would be configured, it is completely up to NW. The UE report can only be triggered by RRC reconfiguration, while some NW configuration update can be MAC CE based, such as the SCell activation referred here. So in fact the UE report can not update in time with such MAC CE based NW configuration update.</w:t>
      </w:r>
    </w:p>
    <w:p>
      <w:pPr>
        <w:pStyle w:val="8"/>
        <w:numPr>
          <w:ilvl w:val="0"/>
          <w:numId w:val="0"/>
        </w:numPr>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Request UE to be responsible for the capability report considering all possible MAC CE triggered NW configuration update, which is the most reliable and simple solution comparing with to discuss all potential implicit association rule.</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around Case 2</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Supporting concurrent MG is the precondition to realize performance gain caused by pre-configured MG or NCSG and keep compatibility with existing legacy MG simultaneously.</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combination of NCSG + NCSG in an FR can be supported, and no need related UE capability. Regarding to the assumption of RF chains, no need to restrict the number of RF chains, even a single idle RF chain can be shared between the measurements associated with the two NCSG.</w:t>
      </w:r>
    </w:p>
    <w:p>
      <w:pPr>
        <w:pStyle w:val="8"/>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For Case 2, the collision handling can be further checked since in fact the gap canceling is not always necessary when collision happens since of the necessity of NCSG is per band for the UE capable of NCSG. </w:t>
      </w:r>
    </w:p>
    <w:p>
      <w:pPr>
        <w:pStyle w:val="8"/>
        <w:numPr>
          <w:ilvl w:val="0"/>
          <w:numId w:val="12"/>
        </w:numPr>
        <w:ind w:left="84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the collision instance, if no MO needs NCSG, no need to cancel any one between NCSG and another MG(NCSG);</w:t>
      </w:r>
    </w:p>
    <w:p>
      <w:pPr>
        <w:pStyle w:val="8"/>
        <w:numPr>
          <w:ilvl w:val="0"/>
          <w:numId w:val="12"/>
        </w:numPr>
        <w:ind w:left="84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For the collision instance, if at least one MO needs NCSG, there are two possible solutions of collision handling: </w:t>
      </w:r>
    </w:p>
    <w:p>
      <w:pPr>
        <w:pStyle w:val="8"/>
        <w:numPr>
          <w:ilvl w:val="1"/>
          <w:numId w:val="12"/>
        </w:numPr>
        <w:ind w:left="126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keep both NCSG and another MG(NCSG) at the price of NCSG degradation to legacy MG;</w:t>
      </w:r>
    </w:p>
    <w:p>
      <w:pPr>
        <w:pStyle w:val="8"/>
        <w:numPr>
          <w:ilvl w:val="1"/>
          <w:numId w:val="12"/>
        </w:numPr>
        <w:ind w:left="126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Cancel the another MG or the lower priority of NCSG.</w:t>
      </w:r>
    </w:p>
    <w:p>
      <w:pPr>
        <w:pStyle w:val="8"/>
        <w:numPr>
          <w:ilvl w:val="0"/>
          <w:numId w:val="12"/>
        </w:numPr>
        <w:ind w:left="84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Which solution should be applied, it can be decided by the priority order. If the NCSG has higher priority than the another MG, then cancel the MG; Otherwise, neither of them would be canceled but at the price of NCSG degradation to legacy MG.</w:t>
      </w:r>
    </w:p>
    <w:p>
      <w:pPr>
        <w:pStyle w:val="8"/>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According to Rel-17 NCSG, the report of ‘no-gap-no-ncsg’, ‘ncsg’ and ‘gap’ is per band type, so if UE report different capabilities for multiple bands, which type of MG would be configured, it is completely up to NW. The UE report can only be triggered by RRC reconfiguration, while some NW configuration update can be MAC CE based, such as the SCell activation referred here. So in fact the UE report can not update in time with such MAC CE based NW configuration update.</w:t>
      </w:r>
    </w:p>
    <w:p>
      <w:pPr>
        <w:pStyle w:val="8"/>
        <w:numPr>
          <w:ilvl w:val="0"/>
          <w:numId w:val="0"/>
        </w:numPr>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Proposal 3: Request UE to be responsible for the capability report considering all possible MAC CE triggered NW configuration update, which is the most reliable and simple solution comparing with to discuss all potential implicit association rule.</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4"/>
        </w:numPr>
        <w:ind w:leftChars="0"/>
        <w:rPr>
          <w:rFonts w:hint="eastAsia"/>
          <w:color w:val="auto"/>
          <w:highlight w:val="none"/>
          <w:lang w:val="en-US" w:eastAsia="zh-CN"/>
        </w:rPr>
      </w:pPr>
      <w:r>
        <w:rPr>
          <w:rFonts w:hint="eastAsia"/>
          <w:color w:val="auto"/>
          <w:highlight w:val="none"/>
          <w:lang w:val="en-US" w:eastAsia="zh-CN"/>
        </w:rPr>
        <w:t xml:space="preserve">RP-222337 </w:t>
      </w:r>
      <w:r>
        <w:rPr>
          <w:rFonts w:hint="default"/>
          <w:color w:val="auto"/>
          <w:highlight w:val="none"/>
          <w:lang w:val="en-US" w:eastAsia="zh-CN"/>
        </w:rPr>
        <w:t>“New WID: Further Enhancements on NR and MR-DC Measurement Gaps and Measurements without Gaps”</w:t>
      </w:r>
      <w:r>
        <w:rPr>
          <w:rFonts w:hint="eastAsia"/>
          <w:color w:val="auto"/>
          <w:highlight w:val="none"/>
          <w:lang w:val="en-US" w:eastAsia="zh-CN"/>
        </w:rPr>
        <w:t>, MediaTek Inc, Intel Corporation</w:t>
      </w:r>
    </w:p>
    <w:p>
      <w:pPr>
        <w:pStyle w:val="9"/>
        <w:numPr>
          <w:ilvl w:val="0"/>
          <w:numId w:val="0"/>
        </w:numPr>
        <w:ind w:leftChars="0"/>
        <w:rPr>
          <w:rFonts w:hint="eastAsia"/>
          <w:color w:val="auto"/>
          <w:highlight w:val="none"/>
          <w:lang w:val="en-US" w:eastAsia="zh-CN"/>
        </w:rPr>
      </w:pPr>
      <w:r>
        <w:rPr>
          <w:rFonts w:hint="eastAsia"/>
          <w:color w:val="auto"/>
          <w:highlight w:val="none"/>
          <w:lang w:val="en-US" w:eastAsia="zh-CN"/>
        </w:rPr>
        <w:t xml:space="preserve">[2] R4-2220359 </w:t>
      </w:r>
      <w:r>
        <w:rPr>
          <w:rFonts w:hint="default"/>
          <w:color w:val="auto"/>
          <w:highlight w:val="none"/>
          <w:lang w:val="en-US" w:eastAsia="zh-CN"/>
        </w:rPr>
        <w:t>“</w:t>
      </w:r>
      <w:r>
        <w:rPr>
          <w:rFonts w:hint="eastAsia"/>
          <w:color w:val="auto"/>
          <w:highlight w:val="none"/>
          <w:lang w:val="en-US" w:eastAsia="zh-CN"/>
        </w:rPr>
        <w:t>WF on NR_MG_enh2 Part 1</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[3] R4-2217251 </w:t>
      </w:r>
      <w:r>
        <w:rPr>
          <w:rFonts w:hint="default"/>
          <w:color w:val="auto"/>
          <w:highlight w:val="none"/>
          <w:lang w:val="en-US" w:eastAsia="zh-CN"/>
        </w:rPr>
        <w:t>“WF on further enhancements on measurement gaps and measurements without gaps”</w:t>
      </w:r>
      <w:r>
        <w:rPr>
          <w:rFonts w:hint="eastAsia"/>
          <w:color w:val="auto"/>
          <w:highlight w:val="none"/>
          <w:lang w:val="en-US" w:eastAsia="zh-CN"/>
        </w:rPr>
        <w:t>, MediaTek Inc</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224265"/>
    <w:multiLevelType w:val="singleLevel"/>
    <w:tmpl w:val="8C224265"/>
    <w:lvl w:ilvl="0" w:tentative="0">
      <w:start w:val="1"/>
      <w:numFmt w:val="bullet"/>
      <w:lvlText w:val=""/>
      <w:lvlJc w:val="left"/>
      <w:pPr>
        <w:ind w:left="420" w:hanging="420"/>
      </w:pPr>
      <w:rPr>
        <w:rFonts w:hint="default" w:ascii="Wingdings" w:hAnsi="Wingdings"/>
      </w:rPr>
    </w:lvl>
  </w:abstractNum>
  <w:abstractNum w:abstractNumId="1">
    <w:nsid w:val="CCC807E5"/>
    <w:multiLevelType w:val="singleLevel"/>
    <w:tmpl w:val="CCC807E5"/>
    <w:lvl w:ilvl="0" w:tentative="0">
      <w:start w:val="1"/>
      <w:numFmt w:val="decimal"/>
      <w:suff w:val="space"/>
      <w:lvlText w:val="%1)"/>
      <w:lvlJc w:val="left"/>
    </w:lvl>
  </w:abstractNum>
  <w:abstractNum w:abstractNumId="2">
    <w:nsid w:val="131F4C1E"/>
    <w:multiLevelType w:val="multilevel"/>
    <w:tmpl w:val="131F4C1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7B3C98D"/>
    <w:multiLevelType w:val="singleLevel"/>
    <w:tmpl w:val="27B3C98D"/>
    <w:lvl w:ilvl="0" w:tentative="0">
      <w:start w:val="1"/>
      <w:numFmt w:val="bullet"/>
      <w:lvlText w:val=""/>
      <w:lvlJc w:val="left"/>
      <w:pPr>
        <w:ind w:left="420" w:hanging="420"/>
      </w:pPr>
      <w:rPr>
        <w:rFonts w:hint="default" w:ascii="Wingdings" w:hAnsi="Wingdings"/>
      </w:rPr>
    </w:lvl>
  </w:abstractNum>
  <w:abstractNum w:abstractNumId="5">
    <w:nsid w:val="3181B54E"/>
    <w:multiLevelType w:val="singleLevel"/>
    <w:tmpl w:val="3181B54E"/>
    <w:lvl w:ilvl="0" w:tentative="0">
      <w:start w:val="1"/>
      <w:numFmt w:val="decimal"/>
      <w:suff w:val="space"/>
      <w:lvlText w:val="(%1)"/>
      <w:lvlJc w:val="left"/>
    </w:lvl>
  </w:abstractNum>
  <w:abstractNum w:abstractNumId="6">
    <w:nsid w:val="370EC9F3"/>
    <w:multiLevelType w:val="multilevel"/>
    <w:tmpl w:val="370EC9F3"/>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7">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8"/>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0">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1">
    <w:nsid w:val="6B7D7038"/>
    <w:multiLevelType w:val="singleLevel"/>
    <w:tmpl w:val="6B7D7038"/>
    <w:lvl w:ilvl="0" w:tentative="0">
      <w:start w:val="1"/>
      <w:numFmt w:val="decimal"/>
      <w:suff w:val="space"/>
      <w:lvlText w:val="[%1]"/>
      <w:lvlJc w:val="left"/>
    </w:lvl>
  </w:abstractNum>
  <w:abstractNum w:abstractNumId="12">
    <w:nsid w:val="781F18AF"/>
    <w:multiLevelType w:val="multilevel"/>
    <w:tmpl w:val="781F18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82E5DD2"/>
    <w:multiLevelType w:val="multilevel"/>
    <w:tmpl w:val="782E5DD2"/>
    <w:lvl w:ilvl="0" w:tentative="0">
      <w:start w:val="1"/>
      <w:numFmt w:val="bullet"/>
      <w:lvlText w:val=""/>
      <w:lvlJc w:val="left"/>
      <w:pPr>
        <w:tabs>
          <w:tab w:val="left" w:pos="-420"/>
        </w:tabs>
        <w:ind w:left="700" w:hanging="360"/>
      </w:pPr>
      <w:rPr>
        <w:rFonts w:hint="default" w:ascii="Symbol" w:hAnsi="Symbol"/>
      </w:rPr>
    </w:lvl>
    <w:lvl w:ilvl="1" w:tentative="0">
      <w:start w:val="1"/>
      <w:numFmt w:val="bullet"/>
      <w:lvlText w:val="o"/>
      <w:lvlJc w:val="left"/>
      <w:pPr>
        <w:tabs>
          <w:tab w:val="left" w:pos="-420"/>
        </w:tabs>
        <w:ind w:left="1420" w:hanging="360"/>
      </w:pPr>
      <w:rPr>
        <w:rFonts w:hint="default" w:ascii="Courier New" w:hAnsi="Courier New" w:cs="Courier New"/>
      </w:rPr>
    </w:lvl>
    <w:lvl w:ilvl="2" w:tentative="0">
      <w:start w:val="1"/>
      <w:numFmt w:val="bullet"/>
      <w:lvlText w:val=""/>
      <w:lvlJc w:val="left"/>
      <w:pPr>
        <w:tabs>
          <w:tab w:val="left" w:pos="-420"/>
        </w:tabs>
        <w:ind w:left="2140" w:hanging="360"/>
      </w:pPr>
      <w:rPr>
        <w:rFonts w:hint="default" w:ascii="Wingdings" w:hAnsi="Wingdings"/>
      </w:rPr>
    </w:lvl>
    <w:lvl w:ilvl="3" w:tentative="0">
      <w:start w:val="1"/>
      <w:numFmt w:val="bullet"/>
      <w:lvlText w:val=""/>
      <w:lvlJc w:val="left"/>
      <w:pPr>
        <w:tabs>
          <w:tab w:val="left" w:pos="-420"/>
        </w:tabs>
        <w:ind w:left="2860" w:hanging="360"/>
      </w:pPr>
      <w:rPr>
        <w:rFonts w:hint="default" w:ascii="Symbol" w:hAnsi="Symbol"/>
      </w:rPr>
    </w:lvl>
    <w:lvl w:ilvl="4" w:tentative="0">
      <w:start w:val="1"/>
      <w:numFmt w:val="bullet"/>
      <w:lvlText w:val="o"/>
      <w:lvlJc w:val="left"/>
      <w:pPr>
        <w:tabs>
          <w:tab w:val="left" w:pos="-420"/>
        </w:tabs>
        <w:ind w:left="3580" w:hanging="360"/>
      </w:pPr>
      <w:rPr>
        <w:rFonts w:hint="default" w:ascii="Courier New" w:hAnsi="Courier New" w:cs="Courier New"/>
      </w:rPr>
    </w:lvl>
    <w:lvl w:ilvl="5" w:tentative="0">
      <w:start w:val="1"/>
      <w:numFmt w:val="bullet"/>
      <w:lvlText w:val=""/>
      <w:lvlJc w:val="left"/>
      <w:pPr>
        <w:tabs>
          <w:tab w:val="left" w:pos="-420"/>
        </w:tabs>
        <w:ind w:left="4300" w:hanging="360"/>
      </w:pPr>
      <w:rPr>
        <w:rFonts w:hint="default" w:ascii="Wingdings" w:hAnsi="Wingdings"/>
      </w:rPr>
    </w:lvl>
    <w:lvl w:ilvl="6" w:tentative="0">
      <w:start w:val="1"/>
      <w:numFmt w:val="bullet"/>
      <w:lvlText w:val=""/>
      <w:lvlJc w:val="left"/>
      <w:pPr>
        <w:tabs>
          <w:tab w:val="left" w:pos="-420"/>
        </w:tabs>
        <w:ind w:left="5020" w:hanging="360"/>
      </w:pPr>
      <w:rPr>
        <w:rFonts w:hint="default" w:ascii="Symbol" w:hAnsi="Symbol"/>
      </w:rPr>
    </w:lvl>
    <w:lvl w:ilvl="7" w:tentative="0">
      <w:start w:val="1"/>
      <w:numFmt w:val="bullet"/>
      <w:lvlText w:val="o"/>
      <w:lvlJc w:val="left"/>
      <w:pPr>
        <w:tabs>
          <w:tab w:val="left" w:pos="-420"/>
        </w:tabs>
        <w:ind w:left="5740" w:hanging="360"/>
      </w:pPr>
      <w:rPr>
        <w:rFonts w:hint="default" w:ascii="Courier New" w:hAnsi="Courier New" w:cs="Courier New"/>
      </w:rPr>
    </w:lvl>
    <w:lvl w:ilvl="8" w:tentative="0">
      <w:start w:val="1"/>
      <w:numFmt w:val="bullet"/>
      <w:lvlText w:val=""/>
      <w:lvlJc w:val="left"/>
      <w:pPr>
        <w:tabs>
          <w:tab w:val="left" w:pos="-420"/>
        </w:tabs>
        <w:ind w:left="6460" w:hanging="360"/>
      </w:pPr>
      <w:rPr>
        <w:rFonts w:hint="default" w:ascii="Wingdings" w:hAnsi="Wingdings"/>
      </w:rPr>
    </w:lvl>
  </w:abstractNum>
  <w:num w:numId="1">
    <w:abstractNumId w:val="10"/>
  </w:num>
  <w:num w:numId="2">
    <w:abstractNumId w:val="8"/>
  </w:num>
  <w:num w:numId="3">
    <w:abstractNumId w:val="9"/>
  </w:num>
  <w:num w:numId="4">
    <w:abstractNumId w:val="3"/>
  </w:num>
  <w:num w:numId="5">
    <w:abstractNumId w:val="5"/>
  </w:num>
  <w:num w:numId="6">
    <w:abstractNumId w:val="2"/>
  </w:num>
  <w:num w:numId="7">
    <w:abstractNumId w:val="12"/>
  </w:num>
  <w:num w:numId="8">
    <w:abstractNumId w:val="13"/>
  </w:num>
  <w:num w:numId="9">
    <w:abstractNumId w:val="0"/>
  </w:num>
  <w:num w:numId="10">
    <w:abstractNumId w:val="7"/>
  </w:num>
  <w:num w:numId="11">
    <w:abstractNumId w:val="4"/>
  </w:num>
  <w:num w:numId="12">
    <w:abstractNumId w:val="6"/>
  </w:num>
  <w:num w:numId="13">
    <w:abstractNumId w:val="1"/>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6E28C2"/>
    <w:rsid w:val="04793516"/>
    <w:rsid w:val="047A00DD"/>
    <w:rsid w:val="047A3CFF"/>
    <w:rsid w:val="04885243"/>
    <w:rsid w:val="05317828"/>
    <w:rsid w:val="05477E90"/>
    <w:rsid w:val="05BB5AB9"/>
    <w:rsid w:val="05C42923"/>
    <w:rsid w:val="05F562DB"/>
    <w:rsid w:val="062C57F4"/>
    <w:rsid w:val="06963BA6"/>
    <w:rsid w:val="06965F3C"/>
    <w:rsid w:val="06DD1E22"/>
    <w:rsid w:val="07CD3CDD"/>
    <w:rsid w:val="0855671D"/>
    <w:rsid w:val="089009EB"/>
    <w:rsid w:val="08D55D21"/>
    <w:rsid w:val="09716BCA"/>
    <w:rsid w:val="09D64B23"/>
    <w:rsid w:val="09E644B8"/>
    <w:rsid w:val="0A4F476E"/>
    <w:rsid w:val="0B12013A"/>
    <w:rsid w:val="0B1C5C6A"/>
    <w:rsid w:val="0B243EFB"/>
    <w:rsid w:val="0B3D3C2F"/>
    <w:rsid w:val="0BB0429A"/>
    <w:rsid w:val="0BFF5FC6"/>
    <w:rsid w:val="0C276675"/>
    <w:rsid w:val="0C394019"/>
    <w:rsid w:val="0C6C3A8C"/>
    <w:rsid w:val="0EEF75F1"/>
    <w:rsid w:val="0F3D019A"/>
    <w:rsid w:val="10997F43"/>
    <w:rsid w:val="10DE7BAE"/>
    <w:rsid w:val="110404BB"/>
    <w:rsid w:val="1178465B"/>
    <w:rsid w:val="120774A3"/>
    <w:rsid w:val="12580C13"/>
    <w:rsid w:val="14006D19"/>
    <w:rsid w:val="1481754F"/>
    <w:rsid w:val="148F5721"/>
    <w:rsid w:val="14AC57CD"/>
    <w:rsid w:val="15ED3E9B"/>
    <w:rsid w:val="164514BE"/>
    <w:rsid w:val="170F06AA"/>
    <w:rsid w:val="17225508"/>
    <w:rsid w:val="180A6E32"/>
    <w:rsid w:val="183F2CD2"/>
    <w:rsid w:val="1856323E"/>
    <w:rsid w:val="18AF55E3"/>
    <w:rsid w:val="18B1519A"/>
    <w:rsid w:val="18CD0507"/>
    <w:rsid w:val="195D7D48"/>
    <w:rsid w:val="1AD01A1B"/>
    <w:rsid w:val="1B61065A"/>
    <w:rsid w:val="1BBF3927"/>
    <w:rsid w:val="1C177B08"/>
    <w:rsid w:val="1C9001C6"/>
    <w:rsid w:val="1CBA2101"/>
    <w:rsid w:val="1D0573D7"/>
    <w:rsid w:val="1D153DC4"/>
    <w:rsid w:val="1D223E0B"/>
    <w:rsid w:val="1E132F88"/>
    <w:rsid w:val="1E2867E9"/>
    <w:rsid w:val="1E853F6F"/>
    <w:rsid w:val="1E9C7BCC"/>
    <w:rsid w:val="1ECC1E3C"/>
    <w:rsid w:val="1FFD4083"/>
    <w:rsid w:val="21014C39"/>
    <w:rsid w:val="21045DF0"/>
    <w:rsid w:val="21244EB1"/>
    <w:rsid w:val="213964D8"/>
    <w:rsid w:val="21595D04"/>
    <w:rsid w:val="21F13629"/>
    <w:rsid w:val="2305377E"/>
    <w:rsid w:val="24122135"/>
    <w:rsid w:val="24D4257E"/>
    <w:rsid w:val="2572202B"/>
    <w:rsid w:val="25AD033C"/>
    <w:rsid w:val="2605683C"/>
    <w:rsid w:val="26776C39"/>
    <w:rsid w:val="26BB1419"/>
    <w:rsid w:val="27B748AA"/>
    <w:rsid w:val="27CB4CB9"/>
    <w:rsid w:val="281C2F58"/>
    <w:rsid w:val="29642C4B"/>
    <w:rsid w:val="2A07352D"/>
    <w:rsid w:val="2A34628C"/>
    <w:rsid w:val="2A724D05"/>
    <w:rsid w:val="2A7E505C"/>
    <w:rsid w:val="2AC85686"/>
    <w:rsid w:val="2AD04B5F"/>
    <w:rsid w:val="2B39549B"/>
    <w:rsid w:val="2BC05B2C"/>
    <w:rsid w:val="2BD617C5"/>
    <w:rsid w:val="2C112837"/>
    <w:rsid w:val="2E014790"/>
    <w:rsid w:val="2EA80C77"/>
    <w:rsid w:val="2EE77680"/>
    <w:rsid w:val="2F2F0FC8"/>
    <w:rsid w:val="301C6BB6"/>
    <w:rsid w:val="30683AA5"/>
    <w:rsid w:val="30723652"/>
    <w:rsid w:val="319708F2"/>
    <w:rsid w:val="31B14C9E"/>
    <w:rsid w:val="33C522D7"/>
    <w:rsid w:val="34807672"/>
    <w:rsid w:val="35B06C6A"/>
    <w:rsid w:val="36941AA2"/>
    <w:rsid w:val="36D37423"/>
    <w:rsid w:val="379D23F9"/>
    <w:rsid w:val="391E38BF"/>
    <w:rsid w:val="3A185287"/>
    <w:rsid w:val="3A1F46B8"/>
    <w:rsid w:val="3A61463C"/>
    <w:rsid w:val="3A692CD0"/>
    <w:rsid w:val="3B270929"/>
    <w:rsid w:val="3B3D5571"/>
    <w:rsid w:val="3B673620"/>
    <w:rsid w:val="3B9A1F29"/>
    <w:rsid w:val="3C1648D7"/>
    <w:rsid w:val="3CE4646B"/>
    <w:rsid w:val="3D5E7AA8"/>
    <w:rsid w:val="3D6F2596"/>
    <w:rsid w:val="3DEF7264"/>
    <w:rsid w:val="3E034DB7"/>
    <w:rsid w:val="3F98373C"/>
    <w:rsid w:val="405F175E"/>
    <w:rsid w:val="409E228D"/>
    <w:rsid w:val="40C765F3"/>
    <w:rsid w:val="413B767D"/>
    <w:rsid w:val="41B86E61"/>
    <w:rsid w:val="423A2308"/>
    <w:rsid w:val="42F869D2"/>
    <w:rsid w:val="43553536"/>
    <w:rsid w:val="43EE38FD"/>
    <w:rsid w:val="44102427"/>
    <w:rsid w:val="44556C28"/>
    <w:rsid w:val="44972678"/>
    <w:rsid w:val="451632B9"/>
    <w:rsid w:val="45906394"/>
    <w:rsid w:val="45F60A50"/>
    <w:rsid w:val="46142D0C"/>
    <w:rsid w:val="46970A81"/>
    <w:rsid w:val="46B036BF"/>
    <w:rsid w:val="47282363"/>
    <w:rsid w:val="488A0591"/>
    <w:rsid w:val="49DC4EAC"/>
    <w:rsid w:val="49E55BC5"/>
    <w:rsid w:val="49F449FC"/>
    <w:rsid w:val="4C1C63D6"/>
    <w:rsid w:val="4C864A35"/>
    <w:rsid w:val="4DC92C9E"/>
    <w:rsid w:val="4E015C76"/>
    <w:rsid w:val="4E310026"/>
    <w:rsid w:val="4E4A2325"/>
    <w:rsid w:val="4E731F31"/>
    <w:rsid w:val="4FAA1EBE"/>
    <w:rsid w:val="501A6C55"/>
    <w:rsid w:val="51234069"/>
    <w:rsid w:val="51351A7F"/>
    <w:rsid w:val="51B14BED"/>
    <w:rsid w:val="51BD50E9"/>
    <w:rsid w:val="51D82AA6"/>
    <w:rsid w:val="52526454"/>
    <w:rsid w:val="525C1CEF"/>
    <w:rsid w:val="528B5767"/>
    <w:rsid w:val="52A77D4F"/>
    <w:rsid w:val="52D33625"/>
    <w:rsid w:val="53A3105E"/>
    <w:rsid w:val="53C64B93"/>
    <w:rsid w:val="53F5023C"/>
    <w:rsid w:val="548A6C60"/>
    <w:rsid w:val="54E07F19"/>
    <w:rsid w:val="55173239"/>
    <w:rsid w:val="55B1164D"/>
    <w:rsid w:val="55B4735E"/>
    <w:rsid w:val="55BB221D"/>
    <w:rsid w:val="56371459"/>
    <w:rsid w:val="56484633"/>
    <w:rsid w:val="58D0053D"/>
    <w:rsid w:val="598C40A0"/>
    <w:rsid w:val="59DA647E"/>
    <w:rsid w:val="5A556E1A"/>
    <w:rsid w:val="5A571A10"/>
    <w:rsid w:val="5AEE7EB1"/>
    <w:rsid w:val="5C1166E3"/>
    <w:rsid w:val="5D0352AD"/>
    <w:rsid w:val="5E2864D0"/>
    <w:rsid w:val="5E494511"/>
    <w:rsid w:val="5EB44FC0"/>
    <w:rsid w:val="5EB81F13"/>
    <w:rsid w:val="5FBA395F"/>
    <w:rsid w:val="60EC2CBA"/>
    <w:rsid w:val="60FC594C"/>
    <w:rsid w:val="61CC2D28"/>
    <w:rsid w:val="62662302"/>
    <w:rsid w:val="630C63B9"/>
    <w:rsid w:val="635902CD"/>
    <w:rsid w:val="638F0DED"/>
    <w:rsid w:val="64706BBE"/>
    <w:rsid w:val="64F2095B"/>
    <w:rsid w:val="65D63F94"/>
    <w:rsid w:val="67702482"/>
    <w:rsid w:val="67A858DB"/>
    <w:rsid w:val="67FE4166"/>
    <w:rsid w:val="68AD2162"/>
    <w:rsid w:val="68C401C3"/>
    <w:rsid w:val="693027BF"/>
    <w:rsid w:val="694E034C"/>
    <w:rsid w:val="6968769B"/>
    <w:rsid w:val="69A833BD"/>
    <w:rsid w:val="69DD6C49"/>
    <w:rsid w:val="6D566F0F"/>
    <w:rsid w:val="6D836F72"/>
    <w:rsid w:val="6DDE3DAF"/>
    <w:rsid w:val="6E3241BE"/>
    <w:rsid w:val="6E471E78"/>
    <w:rsid w:val="6EB97A9D"/>
    <w:rsid w:val="6EF10A90"/>
    <w:rsid w:val="6FFF1868"/>
    <w:rsid w:val="705C7553"/>
    <w:rsid w:val="715F4C2D"/>
    <w:rsid w:val="722F78FB"/>
    <w:rsid w:val="723D67C5"/>
    <w:rsid w:val="72BF60CA"/>
    <w:rsid w:val="72F41282"/>
    <w:rsid w:val="73294AA2"/>
    <w:rsid w:val="733D0D32"/>
    <w:rsid w:val="73D411F1"/>
    <w:rsid w:val="753811DE"/>
    <w:rsid w:val="75642DB6"/>
    <w:rsid w:val="757733D9"/>
    <w:rsid w:val="75BE67D4"/>
    <w:rsid w:val="75C2004C"/>
    <w:rsid w:val="75C759C1"/>
    <w:rsid w:val="75E80EC2"/>
    <w:rsid w:val="762D64F3"/>
    <w:rsid w:val="767E7EFF"/>
    <w:rsid w:val="775B4604"/>
    <w:rsid w:val="77C067C3"/>
    <w:rsid w:val="78911E31"/>
    <w:rsid w:val="7922350F"/>
    <w:rsid w:val="792B5470"/>
    <w:rsid w:val="79C637D8"/>
    <w:rsid w:val="7A9367CB"/>
    <w:rsid w:val="7AF22571"/>
    <w:rsid w:val="7B69224B"/>
    <w:rsid w:val="7BE80F25"/>
    <w:rsid w:val="7C1C35A7"/>
    <w:rsid w:val="7C3519A4"/>
    <w:rsid w:val="7C45431D"/>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59">
    <w:name w:val="CR Cover Page"/>
    <w:qFormat/>
    <w:uiPriority w:val="0"/>
    <w:pPr>
      <w:spacing w:after="120"/>
    </w:pPr>
    <w:rPr>
      <w:rFonts w:ascii="Arial" w:hAnsi="Arial"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2023-02-17T13:03:29Z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